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7FCB9" w14:textId="77777777" w:rsidR="00135EEE" w:rsidRPr="005857A3" w:rsidRDefault="0053440D" w:rsidP="00C66A60">
      <w:pPr>
        <w:pStyle w:val="centrado"/>
        <w:spacing w:line="360" w:lineRule="auto"/>
        <w:jc w:val="center"/>
        <w:rPr>
          <w:rStyle w:val="baj"/>
          <w:rFonts w:ascii="Book Antiqua" w:hAnsi="Book Antiqua" w:cs="Arial"/>
          <w:b/>
          <w:bCs/>
        </w:rPr>
      </w:pPr>
      <w:r w:rsidRPr="005857A3">
        <w:rPr>
          <w:rStyle w:val="baj"/>
          <w:rFonts w:ascii="Book Antiqua" w:hAnsi="Book Antiqua" w:cs="Arial"/>
          <w:b/>
          <w:bCs/>
        </w:rPr>
        <w:t xml:space="preserve">PROYECTO DE </w:t>
      </w:r>
      <w:r w:rsidR="000C794E" w:rsidRPr="005857A3">
        <w:rPr>
          <w:rStyle w:val="baj"/>
          <w:rFonts w:ascii="Book Antiqua" w:hAnsi="Book Antiqua" w:cs="Arial"/>
          <w:b/>
          <w:bCs/>
        </w:rPr>
        <w:t xml:space="preserve">ACTO </w:t>
      </w:r>
      <w:r w:rsidRPr="005857A3">
        <w:rPr>
          <w:rStyle w:val="baj"/>
          <w:rFonts w:ascii="Book Antiqua" w:hAnsi="Book Antiqua" w:cs="Arial"/>
          <w:b/>
          <w:bCs/>
        </w:rPr>
        <w:t>LE</w:t>
      </w:r>
      <w:r w:rsidR="000C794E" w:rsidRPr="005857A3">
        <w:rPr>
          <w:rStyle w:val="baj"/>
          <w:rFonts w:ascii="Book Antiqua" w:hAnsi="Book Antiqua" w:cs="Arial"/>
          <w:b/>
          <w:bCs/>
        </w:rPr>
        <w:t xml:space="preserve">GISLATIVO </w:t>
      </w:r>
      <w:r w:rsidRPr="005857A3">
        <w:rPr>
          <w:rStyle w:val="baj"/>
          <w:rFonts w:ascii="Book Antiqua" w:hAnsi="Book Antiqua" w:cs="Arial"/>
          <w:b/>
          <w:bCs/>
        </w:rPr>
        <w:t>NO. ________ DE 2018</w:t>
      </w:r>
    </w:p>
    <w:p w14:paraId="3A4701F9" w14:textId="77777777" w:rsidR="00135EEE" w:rsidRPr="005857A3" w:rsidRDefault="00135EEE" w:rsidP="00C66A60">
      <w:pPr>
        <w:pStyle w:val="centrado"/>
        <w:spacing w:line="360" w:lineRule="auto"/>
        <w:jc w:val="center"/>
        <w:rPr>
          <w:rFonts w:ascii="Book Antiqua" w:hAnsi="Book Antiqua" w:cs="Arial"/>
        </w:rPr>
      </w:pPr>
      <w:r w:rsidRPr="005857A3">
        <w:rPr>
          <w:rStyle w:val="baj"/>
          <w:rFonts w:ascii="Book Antiqua" w:hAnsi="Book Antiqua" w:cs="Arial"/>
          <w:b/>
          <w:bCs/>
        </w:rPr>
        <w:t xml:space="preserve">“Por la cual </w:t>
      </w:r>
      <w:r w:rsidR="00394E3D" w:rsidRPr="005857A3">
        <w:rPr>
          <w:rStyle w:val="baj"/>
          <w:rFonts w:ascii="Book Antiqua" w:hAnsi="Book Antiqua" w:cs="Arial"/>
          <w:b/>
          <w:bCs/>
        </w:rPr>
        <w:t xml:space="preserve">se </w:t>
      </w:r>
      <w:r w:rsidR="000C794E" w:rsidRPr="005857A3">
        <w:rPr>
          <w:rStyle w:val="baj"/>
          <w:rFonts w:ascii="Book Antiqua" w:hAnsi="Book Antiqua" w:cs="Arial"/>
          <w:b/>
          <w:bCs/>
        </w:rPr>
        <w:t xml:space="preserve">modifica el Acto Legislativo 01 de 2017 y </w:t>
      </w:r>
      <w:r w:rsidRPr="005857A3">
        <w:rPr>
          <w:rStyle w:val="Textoennegrita"/>
          <w:rFonts w:ascii="Book Antiqua" w:hAnsi="Book Antiqua" w:cs="Arial"/>
          <w:shd w:val="clear" w:color="auto" w:fill="FFFFFF"/>
        </w:rPr>
        <w:t>se dictan otras disposiciones</w:t>
      </w:r>
      <w:r w:rsidRPr="005857A3">
        <w:rPr>
          <w:rStyle w:val="baj"/>
          <w:rFonts w:ascii="Book Antiqua" w:hAnsi="Book Antiqua" w:cs="Arial"/>
          <w:b/>
          <w:bCs/>
        </w:rPr>
        <w:t>”</w:t>
      </w:r>
    </w:p>
    <w:p w14:paraId="51239335" w14:textId="77777777" w:rsidR="000C794E" w:rsidRDefault="00135EEE" w:rsidP="00C66A60">
      <w:pPr>
        <w:spacing w:before="100" w:beforeAutospacing="1" w:after="100" w:afterAutospacing="1" w:line="360" w:lineRule="auto"/>
        <w:jc w:val="center"/>
        <w:rPr>
          <w:rFonts w:ascii="Book Antiqua" w:eastAsia="Times New Roman" w:hAnsi="Book Antiqua" w:cs="Arial"/>
          <w:b/>
          <w:sz w:val="24"/>
          <w:szCs w:val="24"/>
        </w:rPr>
      </w:pPr>
      <w:r w:rsidRPr="005857A3">
        <w:rPr>
          <w:rFonts w:ascii="Book Antiqua" w:eastAsia="Times New Roman" w:hAnsi="Book Antiqua" w:cs="Arial"/>
          <w:b/>
          <w:sz w:val="24"/>
          <w:szCs w:val="24"/>
        </w:rPr>
        <w:t>El Congreso de la República de Colombia</w:t>
      </w:r>
    </w:p>
    <w:p w14:paraId="5CD34BB8" w14:textId="77777777" w:rsidR="00C66A60" w:rsidRPr="005857A3" w:rsidRDefault="00C66A60" w:rsidP="00C66A60">
      <w:pPr>
        <w:spacing w:before="100" w:beforeAutospacing="1" w:after="100" w:afterAutospacing="1" w:line="360" w:lineRule="auto"/>
        <w:jc w:val="center"/>
        <w:rPr>
          <w:rFonts w:ascii="Book Antiqua" w:eastAsia="Times New Roman" w:hAnsi="Book Antiqua" w:cs="Arial"/>
          <w:b/>
          <w:sz w:val="24"/>
          <w:szCs w:val="24"/>
        </w:rPr>
      </w:pPr>
    </w:p>
    <w:p w14:paraId="310CA82A" w14:textId="77777777" w:rsidR="00135EEE" w:rsidRPr="005857A3" w:rsidRDefault="00135EEE" w:rsidP="00C66A60">
      <w:pPr>
        <w:spacing w:before="100" w:beforeAutospacing="1" w:after="100" w:afterAutospacing="1" w:line="360" w:lineRule="auto"/>
        <w:jc w:val="center"/>
        <w:rPr>
          <w:rFonts w:ascii="Book Antiqua" w:eastAsia="Times New Roman" w:hAnsi="Book Antiqua" w:cs="Arial"/>
          <w:b/>
          <w:sz w:val="24"/>
          <w:szCs w:val="24"/>
        </w:rPr>
      </w:pPr>
      <w:r w:rsidRPr="005857A3">
        <w:rPr>
          <w:rFonts w:ascii="Book Antiqua" w:eastAsia="Times New Roman" w:hAnsi="Book Antiqua" w:cs="Arial"/>
          <w:b/>
          <w:sz w:val="24"/>
          <w:szCs w:val="24"/>
        </w:rPr>
        <w:t>DECRETA:</w:t>
      </w:r>
    </w:p>
    <w:p w14:paraId="3E2DD0C3"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Artículo 1°.</w:t>
      </w:r>
      <w:r w:rsidRPr="00CC68A5">
        <w:rPr>
          <w:rFonts w:ascii="Book Antiqua" w:hAnsi="Book Antiqua"/>
          <w:color w:val="000000"/>
          <w:sz w:val="22"/>
          <w:szCs w:val="22"/>
        </w:rPr>
        <w:t xml:space="preserve"> Adiciónese el artículo transitorio 7° del Acto Legislativo 01 de 2017, con el siguiente texto:</w:t>
      </w:r>
    </w:p>
    <w:p w14:paraId="7EAE9929"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color w:val="000000"/>
          <w:sz w:val="22"/>
          <w:szCs w:val="22"/>
        </w:rPr>
        <w:t>Dentro del Tribunal para la Paz se crean las siguientes secciones especiales para los miembros de la Fuerza Pública así: dos (2) secciones de primera instancia, una (1) sección de revisión de sentencias y una (1) sección de apelación, integradas por tres (3) magistrados cada una, que cumplirán las mismas funciones asignadas en la Constitución y la ley a las otras secciones de la JEP, pero exclusivas para las conductas cometidas por miembros de la Fuerza Pública con ocasión, por causa, o en relación directa o indirecta con el conflicto armado.</w:t>
      </w:r>
    </w:p>
    <w:p w14:paraId="0B36AF50"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color w:val="000000"/>
          <w:sz w:val="22"/>
          <w:szCs w:val="22"/>
        </w:rPr>
        <w:t>Dentro de la Jurisdicción Especial para la Paz (JEP) se crea una (1) Sala de Determinación de Competencia encargada de establecer la competencia de las secciones que conocerán las conductas cometidas por miembros de la Fuerza Pública con ocasión, por causa, o en relación directa o indirecta con el conflicto armado, integrada por tres (3) magistrados. Además una (1) Unidad de Investigación y Acusación para Miembros de la Fuerza Pública que estará integrada por un mínimo de ocho (8) fiscales y un (1) coordinador de dicha unidad designados por el Fiscal General de la Nación, y cumplirán las funciones establecidas para la Unidad de Investigación y Acusación de la JEP, de manera exclusiva y preferente sobre las conductas cometidas por miembros de la Fuerza Pública con ocasión, por causa, o en relación directa o indirecta con el conflicto armado.</w:t>
      </w:r>
    </w:p>
    <w:p w14:paraId="23EC90C1" w14:textId="77777777" w:rsid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b/>
          <w:color w:val="000000"/>
          <w:sz w:val="22"/>
          <w:szCs w:val="22"/>
        </w:rPr>
      </w:pPr>
    </w:p>
    <w:p w14:paraId="4BF03574"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Parágrafo 1°.</w:t>
      </w:r>
      <w:r w:rsidRPr="00CC68A5">
        <w:rPr>
          <w:rFonts w:ascii="Book Antiqua" w:hAnsi="Book Antiqua"/>
          <w:color w:val="000000"/>
          <w:sz w:val="22"/>
          <w:szCs w:val="22"/>
        </w:rPr>
        <w:t xml:space="preserve"> Las secciones, salas y despachos de magistrados que crea esta reforma constitucional tendrán como mínimo el mismo apoyo de recursos humanos y de orden logístico que tienen sus pares dentro de la JEP.</w:t>
      </w:r>
    </w:p>
    <w:p w14:paraId="4579FFA0" w14:textId="77777777" w:rsid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b/>
          <w:color w:val="000000"/>
          <w:sz w:val="22"/>
          <w:szCs w:val="22"/>
        </w:rPr>
      </w:pPr>
    </w:p>
    <w:p w14:paraId="593F6F1E"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lastRenderedPageBreak/>
        <w:t>Parágrafo 2°.</w:t>
      </w:r>
      <w:r w:rsidRPr="00CC68A5">
        <w:rPr>
          <w:rFonts w:ascii="Book Antiqua" w:hAnsi="Book Antiqua"/>
          <w:color w:val="000000"/>
          <w:sz w:val="22"/>
          <w:szCs w:val="22"/>
        </w:rPr>
        <w:t xml:space="preserve"> Las dependencias y cargos creados en el presente Acto Legislativo tendrán los mismos derechos a participar en los órganos de gobierno de la JEP en las que participan sus pares.</w:t>
      </w:r>
    </w:p>
    <w:p w14:paraId="745069D9" w14:textId="77777777" w:rsid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b/>
          <w:color w:val="000000"/>
          <w:sz w:val="22"/>
          <w:szCs w:val="22"/>
        </w:rPr>
      </w:pPr>
    </w:p>
    <w:p w14:paraId="7196B2C7"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Parágrafo 3°.</w:t>
      </w:r>
      <w:r w:rsidRPr="00CC68A5">
        <w:rPr>
          <w:rFonts w:ascii="Book Antiqua" w:hAnsi="Book Antiqua"/>
          <w:color w:val="000000"/>
          <w:sz w:val="22"/>
          <w:szCs w:val="22"/>
        </w:rPr>
        <w:t xml:space="preserve"> Los magistrados creados en el presente Acto Legislativo adoptarán en ejercicio de su autonomía, el reglamento de funcionamiento y organización de sus dependencias, respetando los principios de imparcialidad, independencia, y las garantías del debido proceso. No expedirán ninguna norma de procedimiento.</w:t>
      </w:r>
    </w:p>
    <w:p w14:paraId="4BF9AA09" w14:textId="77777777" w:rsid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b/>
          <w:color w:val="000000"/>
          <w:sz w:val="22"/>
          <w:szCs w:val="22"/>
        </w:rPr>
      </w:pPr>
    </w:p>
    <w:p w14:paraId="3D55772D"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Parágrafo 4°.</w:t>
      </w:r>
      <w:r w:rsidRPr="00CC68A5">
        <w:rPr>
          <w:rFonts w:ascii="Book Antiqua" w:hAnsi="Book Antiqua"/>
          <w:color w:val="000000"/>
          <w:sz w:val="22"/>
          <w:szCs w:val="22"/>
        </w:rPr>
        <w:t xml:space="preserve"> Estos órganos tendrán las mismas funciones y atribuciones que los órganos semejantes del sistema, en lo que se refiera a las conductas cometidas por miembros de la Fuerza Pública con ocasión, por causa, o en relación directa o indirecta con el conflicto armado.</w:t>
      </w:r>
    </w:p>
    <w:p w14:paraId="43FCED04" w14:textId="77777777" w:rsid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b/>
          <w:color w:val="000000"/>
          <w:sz w:val="22"/>
          <w:szCs w:val="22"/>
        </w:rPr>
      </w:pPr>
    </w:p>
    <w:p w14:paraId="12C9CEFE"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Parágrafo 5°.</w:t>
      </w:r>
      <w:r w:rsidRPr="00CC68A5">
        <w:rPr>
          <w:rFonts w:ascii="Book Antiqua" w:hAnsi="Book Antiqua"/>
          <w:color w:val="000000"/>
          <w:sz w:val="22"/>
          <w:szCs w:val="22"/>
        </w:rPr>
        <w:t xml:space="preserve"> El periodo de permanencia en sus cargos y la remuneración de los magistrados creados en esta reforma constitucional será igual al de los magistrados de las otras salas y secciones de la JEP.</w:t>
      </w:r>
    </w:p>
    <w:p w14:paraId="6316B15A"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color w:val="000000"/>
          <w:sz w:val="22"/>
          <w:szCs w:val="22"/>
        </w:rPr>
        <w:t>Adicionalmente habrá cinco (5) magistrados suplentes o sustitutos que serán elegidos con los mismos requisitos y procedimientos del resto de los magistrados de las secciones y sala para la Fuerza Pública. Estos reemplazarán faltas absolutas y temporales, incluyendo impedimentos o recusaciones que fueran aceptadas.</w:t>
      </w:r>
    </w:p>
    <w:p w14:paraId="5E95FFAA" w14:textId="77777777" w:rsid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b/>
          <w:color w:val="000000"/>
          <w:sz w:val="22"/>
          <w:szCs w:val="22"/>
        </w:rPr>
      </w:pPr>
    </w:p>
    <w:p w14:paraId="789EA3AE"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Artículo 2°.</w:t>
      </w:r>
      <w:r w:rsidRPr="00CC68A5">
        <w:rPr>
          <w:rFonts w:ascii="Book Antiqua" w:hAnsi="Book Antiqua"/>
          <w:color w:val="000000"/>
          <w:sz w:val="22"/>
          <w:szCs w:val="22"/>
        </w:rPr>
        <w:t xml:space="preserve"> Adiciónese un artículo nuevo al Acto Legislativo 01 de 2017, el cual quedará así:</w:t>
      </w:r>
    </w:p>
    <w:p w14:paraId="3B7E0F40" w14:textId="77777777" w:rsidR="00CC68A5" w:rsidRDefault="00CC68A5" w:rsidP="00CC68A5">
      <w:pPr>
        <w:pStyle w:val="estlos-gacetasp-rrafos"/>
        <w:shd w:val="clear" w:color="auto" w:fill="FFFFFF"/>
        <w:spacing w:before="45" w:beforeAutospacing="0" w:after="15" w:afterAutospacing="0"/>
        <w:ind w:right="30" w:firstLine="210"/>
        <w:jc w:val="both"/>
        <w:rPr>
          <w:rStyle w:val="charoverride-2"/>
          <w:rFonts w:ascii="Book Antiqua" w:hAnsi="Book Antiqua"/>
          <w:b/>
          <w:bCs/>
          <w:color w:val="000000"/>
          <w:sz w:val="22"/>
          <w:szCs w:val="22"/>
        </w:rPr>
      </w:pPr>
    </w:p>
    <w:p w14:paraId="6E1BD2B4" w14:textId="77777777" w:rsidR="00CC68A5" w:rsidRDefault="00CC68A5" w:rsidP="00CC68A5">
      <w:pPr>
        <w:pStyle w:val="estlos-gacetasp-rrafos"/>
        <w:shd w:val="clear" w:color="auto" w:fill="FFFFFF"/>
        <w:spacing w:before="45" w:beforeAutospacing="0" w:after="15" w:afterAutospacing="0"/>
        <w:ind w:right="30" w:firstLine="210"/>
        <w:jc w:val="both"/>
        <w:rPr>
          <w:rStyle w:val="charoverride-2"/>
          <w:rFonts w:ascii="Book Antiqua" w:hAnsi="Book Antiqua"/>
          <w:b/>
          <w:bCs/>
          <w:color w:val="000000"/>
          <w:sz w:val="22"/>
          <w:szCs w:val="22"/>
        </w:rPr>
      </w:pPr>
    </w:p>
    <w:p w14:paraId="78FA502E"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Style w:val="charoverride-2"/>
          <w:rFonts w:ascii="Book Antiqua" w:hAnsi="Book Antiqua"/>
          <w:b/>
          <w:bCs/>
          <w:color w:val="000000"/>
          <w:sz w:val="22"/>
          <w:szCs w:val="22"/>
        </w:rPr>
        <w:t>Artículo Nuevo</w:t>
      </w:r>
      <w:r w:rsidRPr="00CC68A5">
        <w:rPr>
          <w:rFonts w:ascii="Book Antiqua" w:hAnsi="Book Antiqua"/>
          <w:color w:val="000000"/>
          <w:sz w:val="22"/>
          <w:szCs w:val="22"/>
        </w:rPr>
        <w:t>. Los Magistrados de las Secciones del Tribunal para la Paz y de la sala de la JEP creados en el presente Acto Legislativo que conocerán de manera exclusiva y preferente las conductas cometidas por miembros de la Fuerza Pública con ocasión, por causa, o en relación directa o indirecta con el conflicto armado, serán elegidos por el Presidente de la República y refrendados por el Congreso de la República en sesión de Congreso Pleno mediante votación de ambas cámaras por mayoría simple.</w:t>
      </w:r>
    </w:p>
    <w:p w14:paraId="35E2EC39"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color w:val="000000"/>
          <w:sz w:val="22"/>
          <w:szCs w:val="22"/>
        </w:rPr>
        <w:t>Además de reunir los requisitos establecidos en el artículo 232 de la Constitución Política, deberán acreditar formación en DIH y conocimiento en los manuales operacionales de la fuerza pública. Podrán ser magistrados de las secciones del Tribunal para la Paz y de la sala especial creados en el presente Acto Legislativo aquellos miembros retirados de la fuerza pública que cumplan con los anteriores requisitos, con la condición de que máximo dos (2) de los tres (3) magistrados que conforman el órgano podrán provenir de esta fuente.</w:t>
      </w:r>
    </w:p>
    <w:p w14:paraId="5D8D15C1"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lastRenderedPageBreak/>
        <w:t>Artículo 3°.</w:t>
      </w:r>
      <w:r w:rsidRPr="00CC68A5">
        <w:rPr>
          <w:rFonts w:ascii="Book Antiqua" w:hAnsi="Book Antiqua"/>
          <w:color w:val="000000"/>
          <w:sz w:val="22"/>
          <w:szCs w:val="22"/>
        </w:rPr>
        <w:t xml:space="preserve"> Adiciónese un artículo nuevo al Acto Legislativo 01 de 2017, el cual quedará así:</w:t>
      </w:r>
    </w:p>
    <w:p w14:paraId="08887F28"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Style w:val="charoverride-2"/>
          <w:rFonts w:ascii="Book Antiqua" w:hAnsi="Book Antiqua"/>
          <w:b/>
          <w:bCs/>
          <w:color w:val="000000"/>
          <w:sz w:val="22"/>
          <w:szCs w:val="22"/>
        </w:rPr>
        <w:t>Artículo Nuevo.</w:t>
      </w:r>
      <w:r w:rsidRPr="00CC68A5">
        <w:rPr>
          <w:rFonts w:ascii="Book Antiqua" w:hAnsi="Book Antiqua"/>
          <w:color w:val="000000"/>
          <w:sz w:val="22"/>
          <w:szCs w:val="22"/>
        </w:rPr>
        <w:t> Las sentencias dictadas por las secciones y las resoluciones proferidas por la sala que conocen los asuntos de la Fuerza Pública, que se crean en el presente Acto Legislativo y que definen situaciones jurídicas, harán tránsito a cosa juzgada cuando estén en firme y se garantizará su inmutabilidad. Las secciones del Tribunal para la paz creadas en la presente reforma constitucional, son el órgano de cierre y la máxima instancia en los procesos de la Fuerza Pública y demás asuntos de su competencia.</w:t>
      </w:r>
    </w:p>
    <w:p w14:paraId="7782E68A"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Artículo 4°.</w:t>
      </w:r>
      <w:r w:rsidRPr="00CC68A5">
        <w:rPr>
          <w:rFonts w:ascii="Book Antiqua" w:hAnsi="Book Antiqua"/>
          <w:color w:val="000000"/>
          <w:sz w:val="22"/>
          <w:szCs w:val="22"/>
        </w:rPr>
        <w:t xml:space="preserve"> Adiciónese un artículo nuevo al Acto Legislativo 01 de 2017, el cual quedará así:</w:t>
      </w:r>
    </w:p>
    <w:p w14:paraId="73D32122" w14:textId="77777777" w:rsidR="00CC68A5" w:rsidRPr="00CC68A5" w:rsidRDefault="00CC68A5" w:rsidP="00CC68A5">
      <w:pPr>
        <w:pStyle w:val="estlos-gacetasp-rrafos"/>
        <w:shd w:val="clear" w:color="auto" w:fill="FFFFFF"/>
        <w:spacing w:before="45" w:beforeAutospacing="0" w:after="555" w:afterAutospacing="0"/>
        <w:ind w:right="30" w:firstLine="210"/>
        <w:jc w:val="both"/>
        <w:rPr>
          <w:rFonts w:ascii="Book Antiqua" w:hAnsi="Book Antiqua"/>
          <w:color w:val="000000"/>
          <w:sz w:val="22"/>
          <w:szCs w:val="22"/>
        </w:rPr>
      </w:pPr>
      <w:r w:rsidRPr="00CC68A5">
        <w:rPr>
          <w:rStyle w:val="charoverride-2"/>
          <w:rFonts w:ascii="Book Antiqua" w:hAnsi="Book Antiqua"/>
          <w:b/>
          <w:bCs/>
          <w:color w:val="000000"/>
          <w:sz w:val="22"/>
          <w:szCs w:val="22"/>
        </w:rPr>
        <w:t>Artículo Nuevo</w:t>
      </w:r>
      <w:r w:rsidRPr="00CC68A5">
        <w:rPr>
          <w:rFonts w:ascii="Book Antiqua" w:hAnsi="Book Antiqua"/>
          <w:color w:val="000000"/>
          <w:sz w:val="22"/>
          <w:szCs w:val="22"/>
        </w:rPr>
        <w:t>. Las secciones y la Sala creadas en la presente Reforma Constitucional al adoptar sus sentencias o resoluciones harán la respectiva calificación jurídica basadas en el Código Penal Colombiano y en las normas de Derecho Internacional en materia de Derechos Humanos (DIDH), Derecho Internacional Humanitario (DIH) o Derecho Penal Internacional (DPI) siempre con aplicación obligatoria del Principio de Favorabilidad, y en general podrán aplicar todas las normas legales vigentes compatibles con la naturaleza del presente Acto Legislativo, en especial las normas que regulan todos los temas de la jurisdicción especial para la paz. El Congreso de la República expedirá las normas adicionales que se requieran para el cumplimiento del presente Acto Legislativo.</w:t>
      </w:r>
    </w:p>
    <w:p w14:paraId="05AB0FDD"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color w:val="000000"/>
          <w:sz w:val="22"/>
          <w:szCs w:val="22"/>
        </w:rPr>
        <w:t>En todo caso se tendrán en cuenta los siguientes principios:</w:t>
      </w:r>
    </w:p>
    <w:p w14:paraId="0E8C442A" w14:textId="77777777" w:rsidR="00CC68A5" w:rsidRPr="00CC68A5" w:rsidRDefault="00CC68A5" w:rsidP="00CC68A5">
      <w:pPr>
        <w:pStyle w:val="estlos-gacetasvieta-tabulado"/>
        <w:shd w:val="clear" w:color="auto" w:fill="FFFFFF"/>
        <w:spacing w:before="0" w:beforeAutospacing="0" w:after="0" w:afterAutospacing="0"/>
        <w:ind w:left="540" w:hanging="330"/>
        <w:jc w:val="both"/>
        <w:rPr>
          <w:rFonts w:ascii="Book Antiqua" w:hAnsi="Book Antiqua"/>
          <w:color w:val="000000"/>
          <w:sz w:val="22"/>
          <w:szCs w:val="22"/>
        </w:rPr>
      </w:pPr>
      <w:r w:rsidRPr="00CC68A5">
        <w:rPr>
          <w:rFonts w:ascii="Book Antiqua" w:hAnsi="Book Antiqua"/>
          <w:color w:val="000000"/>
          <w:sz w:val="22"/>
          <w:szCs w:val="22"/>
        </w:rPr>
        <w:t>a) Derecho al honor y el buen nombre. Se garantizará el derecho de defender la honra, y por lo tanto los beneficios del sistema incluyendo la libertad no estarán condicionados a la confesión o reconocimiento de la responsabilidad. En todo caso, los miembros de la Fuerza Pública tendrán un compromiso con la verdad;</w:t>
      </w:r>
    </w:p>
    <w:p w14:paraId="361FBF8C" w14:textId="77777777" w:rsidR="00CC68A5" w:rsidRPr="00CC68A5" w:rsidRDefault="00CC68A5" w:rsidP="00CC68A5">
      <w:pPr>
        <w:pStyle w:val="estlos-gacetasvieta-tabulado"/>
        <w:shd w:val="clear" w:color="auto" w:fill="FFFFFF"/>
        <w:spacing w:before="0" w:beforeAutospacing="0" w:after="0" w:afterAutospacing="0"/>
        <w:ind w:left="540" w:hanging="330"/>
        <w:jc w:val="both"/>
        <w:rPr>
          <w:rFonts w:ascii="Book Antiqua" w:hAnsi="Book Antiqua"/>
          <w:color w:val="000000"/>
          <w:sz w:val="22"/>
          <w:szCs w:val="22"/>
        </w:rPr>
      </w:pPr>
      <w:r w:rsidRPr="00CC68A5">
        <w:rPr>
          <w:rFonts w:ascii="Book Antiqua" w:hAnsi="Book Antiqua"/>
          <w:color w:val="000000"/>
          <w:sz w:val="22"/>
          <w:szCs w:val="22"/>
        </w:rPr>
        <w:t>b) Quien haya cumplido un sexto de la pena por el delito imputado o al menos cinco (5) años de detención tendrá derecho a la libertad condicional, antes, durante o después de someterse a la JEP;</w:t>
      </w:r>
    </w:p>
    <w:p w14:paraId="7B0431DA" w14:textId="77777777" w:rsidR="00CC68A5" w:rsidRPr="00CC68A5" w:rsidRDefault="00CC68A5" w:rsidP="00CC68A5">
      <w:pPr>
        <w:pStyle w:val="estlos-gacetasvieta-tabulado"/>
        <w:shd w:val="clear" w:color="auto" w:fill="FFFFFF"/>
        <w:spacing w:before="0" w:beforeAutospacing="0" w:after="0" w:afterAutospacing="0"/>
        <w:ind w:left="540" w:hanging="330"/>
        <w:jc w:val="both"/>
        <w:rPr>
          <w:rFonts w:ascii="Book Antiqua" w:hAnsi="Book Antiqua"/>
          <w:color w:val="000000"/>
          <w:sz w:val="22"/>
          <w:szCs w:val="22"/>
        </w:rPr>
      </w:pPr>
      <w:r w:rsidRPr="00CC68A5">
        <w:rPr>
          <w:rFonts w:ascii="Book Antiqua" w:hAnsi="Book Antiqua"/>
          <w:color w:val="000000"/>
          <w:sz w:val="22"/>
          <w:szCs w:val="22"/>
        </w:rPr>
        <w:t>c) Las sentencias que impongan las secciones del Tribunal para la Paz creadas en el presente Acto Legislativo serán pagadas en centros de detención especiales para los miembros de la fuerza pública;</w:t>
      </w:r>
    </w:p>
    <w:p w14:paraId="6AF969C9" w14:textId="77777777" w:rsidR="00CC68A5" w:rsidRPr="00CC68A5" w:rsidRDefault="00CC68A5" w:rsidP="00CC68A5">
      <w:pPr>
        <w:pStyle w:val="estlos-gacetasvieta-tabulado"/>
        <w:shd w:val="clear" w:color="auto" w:fill="FFFFFF"/>
        <w:spacing w:before="0" w:beforeAutospacing="0" w:after="0" w:afterAutospacing="0"/>
        <w:ind w:left="540" w:hanging="330"/>
        <w:jc w:val="both"/>
        <w:rPr>
          <w:rFonts w:ascii="Book Antiqua" w:hAnsi="Book Antiqua"/>
          <w:color w:val="000000"/>
          <w:sz w:val="22"/>
          <w:szCs w:val="22"/>
        </w:rPr>
      </w:pPr>
      <w:r w:rsidRPr="00CC68A5">
        <w:rPr>
          <w:rFonts w:ascii="Book Antiqua" w:hAnsi="Book Antiqua"/>
          <w:color w:val="000000"/>
          <w:sz w:val="22"/>
          <w:szCs w:val="22"/>
        </w:rPr>
        <w:t>d) El Ministerio de Defensa garantizará que haya defensa técnica para los miembros de la Fuerza Pública en forma permanente, y a su vez para que en el momento en que queden en libertad cuenten con la asistencia y los programas estatales para su cabal reincorporación.</w:t>
      </w:r>
    </w:p>
    <w:p w14:paraId="7D5C2BF1"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Artículo 5°.</w:t>
      </w:r>
      <w:r w:rsidRPr="00CC68A5">
        <w:rPr>
          <w:rFonts w:ascii="Book Antiqua" w:hAnsi="Book Antiqua"/>
          <w:color w:val="000000"/>
          <w:sz w:val="22"/>
          <w:szCs w:val="22"/>
        </w:rPr>
        <w:t xml:space="preserve"> Adiciónese un artículo nuevo al Acto Legislativo 01 de 2017, el cual quedará así:</w:t>
      </w:r>
    </w:p>
    <w:p w14:paraId="540EBA5B"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Style w:val="charoverride-2"/>
          <w:rFonts w:ascii="Book Antiqua" w:hAnsi="Book Antiqua"/>
          <w:b/>
          <w:bCs/>
          <w:color w:val="000000"/>
          <w:sz w:val="22"/>
          <w:szCs w:val="22"/>
        </w:rPr>
        <w:t>Artículo Nuevo.</w:t>
      </w:r>
      <w:r w:rsidRPr="00CC68A5">
        <w:rPr>
          <w:rFonts w:ascii="Book Antiqua" w:hAnsi="Book Antiqua"/>
          <w:color w:val="000000"/>
          <w:sz w:val="22"/>
          <w:szCs w:val="22"/>
        </w:rPr>
        <w:t> </w:t>
      </w:r>
      <w:r w:rsidRPr="00CC68A5">
        <w:rPr>
          <w:rStyle w:val="charoverride-3"/>
          <w:rFonts w:ascii="Book Antiqua" w:hAnsi="Book Antiqua"/>
          <w:b/>
          <w:bCs/>
          <w:i/>
          <w:iCs/>
          <w:color w:val="000000"/>
          <w:sz w:val="22"/>
          <w:szCs w:val="22"/>
        </w:rPr>
        <w:t>Intervención de la Procuraduría General de la Nación en los procesos que adelanten la Sala y el Tribunal Especial para Miembros de la Fuerza Pública.</w:t>
      </w:r>
      <w:r w:rsidRPr="00CC68A5">
        <w:rPr>
          <w:rFonts w:ascii="Book Antiqua" w:hAnsi="Book Antiqua"/>
          <w:color w:val="000000"/>
          <w:sz w:val="22"/>
          <w:szCs w:val="22"/>
        </w:rPr>
        <w:t xml:space="preserve"> El </w:t>
      </w:r>
      <w:r w:rsidRPr="00CC68A5">
        <w:rPr>
          <w:rFonts w:ascii="Book Antiqua" w:hAnsi="Book Antiqua"/>
          <w:color w:val="000000"/>
          <w:sz w:val="22"/>
          <w:szCs w:val="22"/>
        </w:rPr>
        <w:lastRenderedPageBreak/>
        <w:t>Procurador General de la Nación deberá designar agentes especiales para que intervengan en las actuaciones y los procesos que se surtan ante la Sala y secciones para miembros de la Fuerza Pública, de conformidad con el artículo 277 de la Constitución Política.</w:t>
      </w:r>
    </w:p>
    <w:p w14:paraId="54100DFF"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color w:val="000000"/>
          <w:sz w:val="22"/>
          <w:szCs w:val="22"/>
        </w:rPr>
        <w:t>Artículo 6°. Adiciónese un artículo nuevo al Acto Legislativo 01 de 2017, el cual quedará así:</w:t>
      </w:r>
    </w:p>
    <w:p w14:paraId="06F5E0C8"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Style w:val="charoverride-2"/>
          <w:rFonts w:ascii="Book Antiqua" w:hAnsi="Book Antiqua"/>
          <w:b/>
          <w:bCs/>
          <w:color w:val="000000"/>
          <w:sz w:val="22"/>
          <w:szCs w:val="22"/>
        </w:rPr>
        <w:t>Artículo Nuevo.</w:t>
      </w:r>
      <w:r w:rsidRPr="00CC68A5">
        <w:rPr>
          <w:rFonts w:ascii="Book Antiqua" w:hAnsi="Book Antiqua"/>
          <w:color w:val="000000"/>
          <w:sz w:val="22"/>
          <w:szCs w:val="22"/>
        </w:rPr>
        <w:t> </w:t>
      </w:r>
      <w:r w:rsidRPr="00CC68A5">
        <w:rPr>
          <w:rStyle w:val="charoverride-3"/>
          <w:rFonts w:ascii="Book Antiqua" w:hAnsi="Book Antiqua"/>
          <w:b/>
          <w:bCs/>
          <w:i/>
          <w:iCs/>
          <w:color w:val="000000"/>
          <w:sz w:val="22"/>
          <w:szCs w:val="22"/>
        </w:rPr>
        <w:t>Defensa Institucional.</w:t>
      </w:r>
      <w:r w:rsidRPr="00CC68A5">
        <w:rPr>
          <w:rFonts w:ascii="Book Antiqua" w:hAnsi="Book Antiqua"/>
          <w:color w:val="000000"/>
          <w:sz w:val="22"/>
          <w:szCs w:val="22"/>
        </w:rPr>
        <w:t> Todas las instituciones a las que pertenecen los miembros de la fuerza pública, deben tener un abogado que se encargue de la defensa del buen nombre de la institución que sea mencionada en los procesos. Además proveerán defensa técnica y especializada gratuita para los miembros de la fuerza pública que sean sujetos de procesos ante la JEP.</w:t>
      </w:r>
    </w:p>
    <w:p w14:paraId="21BD16C6"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Artículo 7°.</w:t>
      </w:r>
      <w:r w:rsidRPr="00CC68A5">
        <w:rPr>
          <w:rFonts w:ascii="Book Antiqua" w:hAnsi="Book Antiqua"/>
          <w:color w:val="000000"/>
          <w:sz w:val="22"/>
          <w:szCs w:val="22"/>
        </w:rPr>
        <w:t xml:space="preserve"> Adiciónese un artículo nuevo al Acto Legislativo 01 de 2017, el cual quedará así:</w:t>
      </w:r>
    </w:p>
    <w:p w14:paraId="6E1F73A8"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Style w:val="charoverride-2"/>
          <w:rFonts w:ascii="Book Antiqua" w:hAnsi="Book Antiqua"/>
          <w:b/>
          <w:bCs/>
          <w:color w:val="000000"/>
          <w:sz w:val="22"/>
          <w:szCs w:val="22"/>
        </w:rPr>
        <w:t>Artículo Transitorio. </w:t>
      </w:r>
      <w:r w:rsidRPr="00CC68A5">
        <w:rPr>
          <w:rStyle w:val="charoverride-3"/>
          <w:rFonts w:ascii="Book Antiqua" w:hAnsi="Book Antiqua"/>
          <w:b/>
          <w:bCs/>
          <w:i/>
          <w:iCs/>
          <w:color w:val="000000"/>
          <w:sz w:val="22"/>
          <w:szCs w:val="22"/>
        </w:rPr>
        <w:t>Régimen de Transición.</w:t>
      </w:r>
      <w:r w:rsidRPr="00CC68A5">
        <w:rPr>
          <w:rFonts w:ascii="Book Antiqua" w:hAnsi="Book Antiqua"/>
          <w:color w:val="000000"/>
          <w:sz w:val="22"/>
          <w:szCs w:val="22"/>
        </w:rPr>
        <w:t> Este régimen será aplicable a aquellos miembros de la fuerza pública que tengan procesos ya iniciados en otras jurisdicciones, salas o secciones de la JEP, de conformidad con los siguientes criterios:</w:t>
      </w:r>
    </w:p>
    <w:p w14:paraId="47A4EA0B" w14:textId="77777777" w:rsidR="00CC68A5" w:rsidRPr="00CC68A5" w:rsidRDefault="00CC68A5" w:rsidP="00CC68A5">
      <w:pPr>
        <w:pStyle w:val="estlos-gacetasvieta-tabulado"/>
        <w:shd w:val="clear" w:color="auto" w:fill="FFFFFF"/>
        <w:spacing w:before="0" w:beforeAutospacing="0" w:after="0" w:afterAutospacing="0"/>
        <w:ind w:left="540" w:hanging="330"/>
        <w:jc w:val="both"/>
        <w:rPr>
          <w:rFonts w:ascii="Book Antiqua" w:hAnsi="Book Antiqua"/>
          <w:color w:val="000000"/>
          <w:sz w:val="22"/>
          <w:szCs w:val="22"/>
        </w:rPr>
      </w:pPr>
      <w:r w:rsidRPr="00CC68A5">
        <w:rPr>
          <w:rFonts w:ascii="Book Antiqua" w:hAnsi="Book Antiqua"/>
          <w:color w:val="000000"/>
          <w:sz w:val="22"/>
          <w:szCs w:val="22"/>
        </w:rPr>
        <w:t>1. Los procesos que actualmente adelante la Sala de Definición de Situaciones Jurídicas de la JEP, serán remitidos de manera inmediata a la Sala de Determinación de Competencias Especial para miembros de la Fuerza Pública, para lo de su competencia.</w:t>
      </w:r>
    </w:p>
    <w:p w14:paraId="1CB38522" w14:textId="77777777" w:rsidR="00CC68A5" w:rsidRPr="00CC68A5" w:rsidRDefault="00CC68A5" w:rsidP="00CC68A5">
      <w:pPr>
        <w:pStyle w:val="estlos-gacetasvieta-tabulado"/>
        <w:shd w:val="clear" w:color="auto" w:fill="FFFFFF"/>
        <w:spacing w:before="0" w:beforeAutospacing="0" w:after="0" w:afterAutospacing="0"/>
        <w:ind w:left="540" w:hanging="330"/>
        <w:jc w:val="both"/>
        <w:rPr>
          <w:rFonts w:ascii="Book Antiqua" w:hAnsi="Book Antiqua"/>
          <w:color w:val="000000"/>
          <w:sz w:val="22"/>
          <w:szCs w:val="22"/>
        </w:rPr>
      </w:pPr>
      <w:r w:rsidRPr="00CC68A5">
        <w:rPr>
          <w:rFonts w:ascii="Book Antiqua" w:hAnsi="Book Antiqua"/>
          <w:color w:val="000000"/>
          <w:sz w:val="22"/>
          <w:szCs w:val="22"/>
        </w:rPr>
        <w:t>2. Los procesos iniciados ante la JEP que aún no tengan fallo, serán enviados a la sala o secciones especiales para miembros de la Fuerza Pública, a solicitud del interesado.</w:t>
      </w:r>
    </w:p>
    <w:p w14:paraId="2E073ABA" w14:textId="77777777" w:rsidR="00CC68A5" w:rsidRPr="00CC68A5" w:rsidRDefault="00CC68A5" w:rsidP="00CC68A5">
      <w:pPr>
        <w:pStyle w:val="estlos-gacetasvieta-tabulado"/>
        <w:shd w:val="clear" w:color="auto" w:fill="FFFFFF"/>
        <w:spacing w:before="0" w:beforeAutospacing="0" w:after="0" w:afterAutospacing="0"/>
        <w:ind w:left="540" w:hanging="330"/>
        <w:jc w:val="both"/>
        <w:rPr>
          <w:rFonts w:ascii="Book Antiqua" w:hAnsi="Book Antiqua"/>
          <w:color w:val="000000"/>
          <w:sz w:val="22"/>
          <w:szCs w:val="22"/>
        </w:rPr>
      </w:pPr>
      <w:r w:rsidRPr="00CC68A5">
        <w:rPr>
          <w:rFonts w:ascii="Book Antiqua" w:hAnsi="Book Antiqua"/>
          <w:color w:val="000000"/>
          <w:sz w:val="22"/>
          <w:szCs w:val="22"/>
        </w:rPr>
        <w:t>3. Los procesos iniciados en otras jurisdicciones y que aún no hayan sido fallados, serán de conocimiento en primera instancia de la sección de primera instancia especial para miembros de la Fuerza Pública. Serán enviados de oficio de manera inmediata.</w:t>
      </w:r>
    </w:p>
    <w:p w14:paraId="6664AF16" w14:textId="77777777" w:rsidR="00CC68A5" w:rsidRPr="00CC68A5" w:rsidRDefault="00CC68A5" w:rsidP="00CC68A5">
      <w:pPr>
        <w:pStyle w:val="estlos-gacetasvieta-tabulado"/>
        <w:shd w:val="clear" w:color="auto" w:fill="FFFFFF"/>
        <w:spacing w:before="0" w:beforeAutospacing="0" w:after="0" w:afterAutospacing="0"/>
        <w:ind w:left="540" w:hanging="330"/>
        <w:jc w:val="both"/>
        <w:rPr>
          <w:rFonts w:ascii="Book Antiqua" w:hAnsi="Book Antiqua"/>
          <w:color w:val="000000"/>
          <w:sz w:val="22"/>
          <w:szCs w:val="22"/>
        </w:rPr>
      </w:pPr>
      <w:r w:rsidRPr="00CC68A5">
        <w:rPr>
          <w:rFonts w:ascii="Book Antiqua" w:hAnsi="Book Antiqua"/>
          <w:color w:val="000000"/>
          <w:sz w:val="22"/>
          <w:szCs w:val="22"/>
        </w:rPr>
        <w:t>4. Los procesos provenientes de otras jurisdicciones en los que se hubiere proferido fallo, serán de conocimiento de la sección de revisión de sentencias especial para la Fuerza Pública, cuando así lo solicite el interesado.</w:t>
      </w:r>
    </w:p>
    <w:p w14:paraId="3F9DBDB4" w14:textId="77777777" w:rsidR="00CC68A5" w:rsidRPr="00CC68A5" w:rsidRDefault="00CC68A5" w:rsidP="00CC68A5">
      <w:pPr>
        <w:pStyle w:val="estlos-gacetasvieta-tabulado"/>
        <w:shd w:val="clear" w:color="auto" w:fill="FFFFFF"/>
        <w:spacing w:before="0" w:beforeAutospacing="0" w:after="0" w:afterAutospacing="0"/>
        <w:ind w:left="540" w:hanging="330"/>
        <w:jc w:val="both"/>
        <w:rPr>
          <w:rFonts w:ascii="Book Antiqua" w:hAnsi="Book Antiqua"/>
          <w:color w:val="000000"/>
          <w:sz w:val="22"/>
          <w:szCs w:val="22"/>
        </w:rPr>
      </w:pPr>
      <w:r w:rsidRPr="00CC68A5">
        <w:rPr>
          <w:rFonts w:ascii="Book Antiqua" w:hAnsi="Book Antiqua"/>
          <w:color w:val="000000"/>
          <w:sz w:val="22"/>
          <w:szCs w:val="22"/>
        </w:rPr>
        <w:t>5. Los procesos provenientes de la Jurisdicción Penal Militar podrán ser de conocimiento de la sala y secciones especiales para miembros de la Fuerza Pública, cuando así lo solicite el interesado.</w:t>
      </w:r>
    </w:p>
    <w:p w14:paraId="21836CA6"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Parágrafo.</w:t>
      </w:r>
      <w:r w:rsidRPr="00CC68A5">
        <w:rPr>
          <w:rFonts w:ascii="Book Antiqua" w:hAnsi="Book Antiqua"/>
          <w:color w:val="000000"/>
          <w:sz w:val="22"/>
          <w:szCs w:val="22"/>
        </w:rPr>
        <w:t xml:space="preserve"> Los agentes del Estado y terceros civiles podrán voluntariamente someterse al régimen jurídico creado en el presente acto legislativo.</w:t>
      </w:r>
    </w:p>
    <w:p w14:paraId="49EBD001"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color w:val="000000"/>
          <w:sz w:val="22"/>
          <w:szCs w:val="22"/>
        </w:rPr>
        <w:t>Artículo 8°. Adiciónese un artículo nuevo al Acto Legislativo 01 de 2017, el cual quedará así:</w:t>
      </w:r>
    </w:p>
    <w:p w14:paraId="76979CF0"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Style w:val="charoverride-2"/>
          <w:rFonts w:ascii="Book Antiqua" w:hAnsi="Book Antiqua"/>
          <w:b/>
          <w:bCs/>
          <w:color w:val="000000"/>
          <w:sz w:val="22"/>
          <w:szCs w:val="22"/>
        </w:rPr>
        <w:t>Artículo Transitorio</w:t>
      </w:r>
      <w:r w:rsidRPr="00CC68A5">
        <w:rPr>
          <w:rFonts w:ascii="Book Antiqua" w:hAnsi="Book Antiqua"/>
          <w:color w:val="000000"/>
          <w:sz w:val="22"/>
          <w:szCs w:val="22"/>
        </w:rPr>
        <w:t>. El Gobierno Nacional podrá en tres (3) oportunidades ajustar el número de Magistrados y funcionarios de la JEP de acuerdo con las necesidades que tenga cada jurisdicción, en aras de compensar los costos y procurar la mejor administración de los recursos. El criterio de austeridad será rector de su decisión.</w:t>
      </w:r>
    </w:p>
    <w:p w14:paraId="316C9694"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Artículo 9°.</w:t>
      </w:r>
      <w:r w:rsidRPr="00CC68A5">
        <w:rPr>
          <w:rFonts w:ascii="Book Antiqua" w:hAnsi="Book Antiqua"/>
          <w:color w:val="000000"/>
          <w:sz w:val="22"/>
          <w:szCs w:val="22"/>
        </w:rPr>
        <w:t xml:space="preserve"> Adiciónese un artículo nuevo al Acto Legislativo 01 de 2017, el cual quedará así:</w:t>
      </w:r>
    </w:p>
    <w:p w14:paraId="2DD97B1E" w14:textId="77777777" w:rsidR="00CC68A5" w:rsidRPr="00CC68A5" w:rsidRDefault="00CC68A5" w:rsidP="00CC68A5">
      <w:pPr>
        <w:pStyle w:val="estlos-gacetasp-rrafos"/>
        <w:shd w:val="clear" w:color="auto" w:fill="FFFFFF"/>
        <w:spacing w:before="45" w:beforeAutospacing="0" w:after="15" w:afterAutospacing="0"/>
        <w:ind w:right="30" w:firstLine="210"/>
        <w:jc w:val="both"/>
        <w:rPr>
          <w:rFonts w:ascii="Book Antiqua" w:hAnsi="Book Antiqua"/>
          <w:color w:val="000000"/>
          <w:sz w:val="22"/>
          <w:szCs w:val="22"/>
        </w:rPr>
      </w:pPr>
      <w:r w:rsidRPr="00CC68A5">
        <w:rPr>
          <w:rStyle w:val="charoverride-2"/>
          <w:rFonts w:ascii="Book Antiqua" w:hAnsi="Book Antiqua"/>
          <w:b/>
          <w:bCs/>
          <w:color w:val="000000"/>
          <w:sz w:val="22"/>
          <w:szCs w:val="22"/>
        </w:rPr>
        <w:lastRenderedPageBreak/>
        <w:t>Artículo Nuevo</w:t>
      </w:r>
      <w:r w:rsidRPr="00CC68A5">
        <w:rPr>
          <w:rFonts w:ascii="Book Antiqua" w:hAnsi="Book Antiqua"/>
          <w:color w:val="000000"/>
          <w:sz w:val="22"/>
          <w:szCs w:val="22"/>
        </w:rPr>
        <w:t>. </w:t>
      </w:r>
      <w:r w:rsidRPr="00CC68A5">
        <w:rPr>
          <w:rStyle w:val="charoverride-3"/>
          <w:rFonts w:ascii="Book Antiqua" w:hAnsi="Book Antiqua"/>
          <w:b/>
          <w:bCs/>
          <w:i/>
          <w:iCs/>
          <w:color w:val="000000"/>
          <w:sz w:val="22"/>
          <w:szCs w:val="22"/>
        </w:rPr>
        <w:t>Conflictos</w:t>
      </w:r>
      <w:r w:rsidRPr="00CC68A5">
        <w:rPr>
          <w:rFonts w:ascii="Book Antiqua" w:hAnsi="Book Antiqua"/>
          <w:color w:val="000000"/>
          <w:sz w:val="22"/>
          <w:szCs w:val="22"/>
        </w:rPr>
        <w:t>. En todo caso, en los conflictos de competencia que surjan entre las secciones que conocen procesos de Fuerza Pública con otras jurisdicciones u otras dependencias de la JEP, prevalecerá la decisión que tome la Sala de Determinación de Competencia de los miembros de la Fuerza Pública. El término para resolver los referidos conflictos será de treinta (30) días improrrogables.</w:t>
      </w:r>
    </w:p>
    <w:p w14:paraId="0B54EF17" w14:textId="77777777" w:rsidR="00CC68A5" w:rsidRPr="00CC68A5" w:rsidRDefault="00CC68A5" w:rsidP="00CC68A5">
      <w:pPr>
        <w:pStyle w:val="estlos-gacetasp-rrafos"/>
        <w:shd w:val="clear" w:color="auto" w:fill="FFFFFF"/>
        <w:spacing w:before="45" w:beforeAutospacing="0" w:after="1230" w:afterAutospacing="0"/>
        <w:ind w:right="30" w:firstLine="210"/>
        <w:jc w:val="both"/>
        <w:rPr>
          <w:rFonts w:ascii="Book Antiqua" w:hAnsi="Book Antiqua"/>
          <w:color w:val="000000"/>
          <w:sz w:val="22"/>
          <w:szCs w:val="22"/>
        </w:rPr>
      </w:pPr>
      <w:r w:rsidRPr="00CC68A5">
        <w:rPr>
          <w:rFonts w:ascii="Book Antiqua" w:hAnsi="Book Antiqua"/>
          <w:b/>
          <w:color w:val="000000"/>
          <w:sz w:val="22"/>
          <w:szCs w:val="22"/>
        </w:rPr>
        <w:t>Artículo 10. </w:t>
      </w:r>
      <w:r w:rsidRPr="00CC68A5">
        <w:rPr>
          <w:rStyle w:val="charoverride-4"/>
          <w:rFonts w:ascii="Book Antiqua" w:hAnsi="Book Antiqua"/>
          <w:b/>
          <w:i/>
          <w:iCs/>
          <w:color w:val="000000"/>
          <w:sz w:val="22"/>
          <w:szCs w:val="22"/>
        </w:rPr>
        <w:t>Vigencia</w:t>
      </w:r>
      <w:r w:rsidRPr="00CC68A5">
        <w:rPr>
          <w:rFonts w:ascii="Book Antiqua" w:hAnsi="Book Antiqua"/>
          <w:b/>
          <w:color w:val="000000"/>
          <w:sz w:val="22"/>
          <w:szCs w:val="22"/>
        </w:rPr>
        <w:t>.</w:t>
      </w:r>
      <w:r w:rsidRPr="00CC68A5">
        <w:rPr>
          <w:rFonts w:ascii="Book Antiqua" w:hAnsi="Book Antiqua"/>
          <w:color w:val="000000"/>
          <w:sz w:val="22"/>
          <w:szCs w:val="22"/>
        </w:rPr>
        <w:t xml:space="preserve"> Este acto legislativo rige a partir de la fecha de su publicación y derogara todas las disposiciones que le sean contrarias.</w:t>
      </w:r>
    </w:p>
    <w:p w14:paraId="7C652A2D" w14:textId="77777777" w:rsidR="00135EEE" w:rsidRPr="00C66A60" w:rsidRDefault="00C66A60" w:rsidP="00C66A60">
      <w:pPr>
        <w:spacing w:before="100" w:beforeAutospacing="1" w:after="100" w:afterAutospacing="1" w:line="360" w:lineRule="auto"/>
        <w:jc w:val="both"/>
        <w:rPr>
          <w:rFonts w:ascii="Book Antiqua" w:hAnsi="Book Antiqua" w:cs="Helvetica"/>
          <w:sz w:val="24"/>
          <w:szCs w:val="24"/>
        </w:rPr>
      </w:pPr>
      <w:r>
        <w:rPr>
          <w:rFonts w:ascii="Book Antiqua" w:hAnsi="Book Antiqua" w:cs="Helvetica"/>
          <w:sz w:val="24"/>
          <w:szCs w:val="24"/>
        </w:rPr>
        <w:t xml:space="preserve">Cordialmente, </w:t>
      </w:r>
    </w:p>
    <w:p w14:paraId="5010038C" w14:textId="77777777" w:rsidR="00C66A60" w:rsidRDefault="00C66A60" w:rsidP="00C66A60">
      <w:pPr>
        <w:spacing w:before="100" w:beforeAutospacing="1" w:after="100" w:afterAutospacing="1" w:line="240" w:lineRule="auto"/>
        <w:rPr>
          <w:rFonts w:ascii="Book Antiqua" w:hAnsi="Book Antiqua" w:cs="Helvetica"/>
          <w:b/>
          <w:sz w:val="24"/>
          <w:szCs w:val="24"/>
        </w:rPr>
      </w:pPr>
    </w:p>
    <w:p w14:paraId="3C6F3608" w14:textId="77777777" w:rsidR="00CC68A5" w:rsidRPr="005857A3" w:rsidRDefault="00CC68A5" w:rsidP="00C66A60">
      <w:pPr>
        <w:spacing w:before="100" w:beforeAutospacing="1" w:after="100" w:afterAutospacing="1" w:line="240" w:lineRule="auto"/>
        <w:rPr>
          <w:rFonts w:ascii="Book Antiqua" w:hAnsi="Book Antiqua" w:cs="Helvetica"/>
          <w:b/>
          <w:sz w:val="24"/>
          <w:szCs w:val="24"/>
        </w:rPr>
        <w:sectPr w:rsidR="00CC68A5" w:rsidRPr="005857A3" w:rsidSect="00750F19">
          <w:headerReference w:type="default" r:id="rId9"/>
          <w:footerReference w:type="default" r:id="rId10"/>
          <w:type w:val="continuous"/>
          <w:pgSz w:w="12240" w:h="15840" w:code="1"/>
          <w:pgMar w:top="1701" w:right="1701" w:bottom="1701" w:left="1701" w:header="709" w:footer="709" w:gutter="0"/>
          <w:cols w:space="708"/>
          <w:docGrid w:linePitch="360"/>
        </w:sectPr>
      </w:pPr>
    </w:p>
    <w:p w14:paraId="1164EDCD" w14:textId="77777777" w:rsidR="00F116A5" w:rsidRPr="005857A3" w:rsidRDefault="00F116A5" w:rsidP="00CC68A5">
      <w:pPr>
        <w:spacing w:after="0" w:line="240" w:lineRule="auto"/>
        <w:jc w:val="center"/>
        <w:rPr>
          <w:rFonts w:ascii="Book Antiqua" w:hAnsi="Book Antiqua" w:cs="Helvetica"/>
          <w:b/>
          <w:sz w:val="24"/>
          <w:szCs w:val="24"/>
        </w:rPr>
      </w:pPr>
      <w:r w:rsidRPr="005857A3">
        <w:rPr>
          <w:rFonts w:ascii="Book Antiqua" w:hAnsi="Book Antiqua" w:cs="Helvetica"/>
          <w:b/>
          <w:sz w:val="24"/>
          <w:szCs w:val="24"/>
        </w:rPr>
        <w:lastRenderedPageBreak/>
        <w:t>Álvaro Uribe Vélez</w:t>
      </w:r>
    </w:p>
    <w:p w14:paraId="68038013" w14:textId="77777777" w:rsidR="00F116A5" w:rsidRDefault="00F116A5" w:rsidP="00CC68A5">
      <w:pPr>
        <w:spacing w:after="0" w:line="240" w:lineRule="auto"/>
        <w:jc w:val="center"/>
        <w:rPr>
          <w:rFonts w:ascii="Book Antiqua" w:hAnsi="Book Antiqua" w:cs="Helvetica"/>
          <w:b/>
          <w:sz w:val="24"/>
          <w:szCs w:val="24"/>
        </w:rPr>
      </w:pPr>
      <w:r w:rsidRPr="005857A3">
        <w:rPr>
          <w:rFonts w:ascii="Book Antiqua" w:hAnsi="Book Antiqua" w:cs="Helvetica"/>
          <w:b/>
          <w:sz w:val="24"/>
          <w:szCs w:val="24"/>
        </w:rPr>
        <w:t>Senador de la República</w:t>
      </w:r>
    </w:p>
    <w:p w14:paraId="2E6C2E00" w14:textId="77777777" w:rsidR="00CC68A5" w:rsidRDefault="00CC68A5" w:rsidP="00CC68A5">
      <w:pPr>
        <w:spacing w:after="0" w:line="240" w:lineRule="auto"/>
        <w:jc w:val="center"/>
        <w:rPr>
          <w:rFonts w:ascii="Book Antiqua" w:hAnsi="Book Antiqua" w:cs="Helvetica"/>
          <w:b/>
          <w:sz w:val="24"/>
          <w:szCs w:val="24"/>
        </w:rPr>
      </w:pPr>
    </w:p>
    <w:p w14:paraId="6955585A" w14:textId="0148AA4D" w:rsidR="00135EEE" w:rsidRPr="005857A3" w:rsidRDefault="00135EEE" w:rsidP="00CC68A5">
      <w:pPr>
        <w:spacing w:after="0" w:line="240" w:lineRule="auto"/>
        <w:jc w:val="center"/>
        <w:rPr>
          <w:rFonts w:ascii="Book Antiqua" w:hAnsi="Book Antiqua" w:cs="Helvetica"/>
          <w:b/>
          <w:sz w:val="24"/>
          <w:szCs w:val="24"/>
        </w:rPr>
      </w:pPr>
      <w:r w:rsidRPr="005857A3">
        <w:rPr>
          <w:rFonts w:ascii="Book Antiqua" w:hAnsi="Book Antiqua" w:cs="Helvetica"/>
          <w:b/>
          <w:sz w:val="24"/>
          <w:szCs w:val="24"/>
        </w:rPr>
        <w:lastRenderedPageBreak/>
        <w:t>Paloma Valencia-Laserna</w:t>
      </w:r>
    </w:p>
    <w:p w14:paraId="0A2B73C7" w14:textId="77777777" w:rsidR="00F116A5" w:rsidRPr="005857A3" w:rsidRDefault="00C66A60" w:rsidP="00CC68A5">
      <w:pPr>
        <w:spacing w:after="0" w:line="240" w:lineRule="auto"/>
        <w:jc w:val="center"/>
        <w:rPr>
          <w:rFonts w:ascii="Book Antiqua" w:hAnsi="Book Antiqua" w:cs="Helvetica"/>
          <w:b/>
          <w:sz w:val="24"/>
          <w:szCs w:val="24"/>
        </w:rPr>
        <w:sectPr w:rsidR="00F116A5" w:rsidRPr="005857A3" w:rsidSect="00F116A5">
          <w:type w:val="continuous"/>
          <w:pgSz w:w="12240" w:h="15840" w:code="1"/>
          <w:pgMar w:top="1701" w:right="1701" w:bottom="1701" w:left="1701" w:header="709" w:footer="709" w:gutter="0"/>
          <w:cols w:num="2" w:space="708"/>
          <w:docGrid w:linePitch="360"/>
        </w:sectPr>
      </w:pPr>
      <w:r>
        <w:rPr>
          <w:rFonts w:ascii="Book Antiqua" w:hAnsi="Book Antiqua" w:cs="Helvetica"/>
          <w:b/>
          <w:sz w:val="24"/>
          <w:szCs w:val="24"/>
        </w:rPr>
        <w:t>Senadora de la República</w:t>
      </w:r>
    </w:p>
    <w:p w14:paraId="1A34F6B1" w14:textId="77777777" w:rsidR="00D77B55" w:rsidRDefault="00D77B55" w:rsidP="007A368A">
      <w:pPr>
        <w:spacing w:before="100" w:beforeAutospacing="1" w:after="100" w:afterAutospacing="1" w:line="360" w:lineRule="auto"/>
        <w:jc w:val="center"/>
        <w:rPr>
          <w:rFonts w:ascii="Book Antiqua" w:hAnsi="Book Antiqua"/>
          <w:b/>
          <w:sz w:val="24"/>
          <w:szCs w:val="24"/>
        </w:rPr>
      </w:pPr>
    </w:p>
    <w:p w14:paraId="7CE899B9" w14:textId="77777777" w:rsidR="00D77B55" w:rsidRDefault="00D77B55" w:rsidP="007A368A">
      <w:pPr>
        <w:spacing w:before="100" w:beforeAutospacing="1" w:after="100" w:afterAutospacing="1" w:line="360" w:lineRule="auto"/>
        <w:jc w:val="center"/>
        <w:rPr>
          <w:rFonts w:ascii="Book Antiqua" w:hAnsi="Book Antiqua"/>
          <w:b/>
          <w:sz w:val="24"/>
          <w:szCs w:val="24"/>
        </w:rPr>
      </w:pPr>
    </w:p>
    <w:p w14:paraId="025E3B9B" w14:textId="77777777" w:rsidR="00D77B55" w:rsidRDefault="00D77B55" w:rsidP="007A368A">
      <w:pPr>
        <w:spacing w:before="100" w:beforeAutospacing="1" w:after="100" w:afterAutospacing="1" w:line="360" w:lineRule="auto"/>
        <w:jc w:val="center"/>
        <w:rPr>
          <w:rFonts w:ascii="Book Antiqua" w:hAnsi="Book Antiqua"/>
          <w:b/>
          <w:sz w:val="24"/>
          <w:szCs w:val="24"/>
        </w:rPr>
      </w:pPr>
    </w:p>
    <w:p w14:paraId="74216446" w14:textId="77777777" w:rsidR="00D77B55" w:rsidRDefault="00D77B55" w:rsidP="007A368A">
      <w:pPr>
        <w:spacing w:before="100" w:beforeAutospacing="1" w:after="100" w:afterAutospacing="1" w:line="360" w:lineRule="auto"/>
        <w:jc w:val="center"/>
        <w:rPr>
          <w:rFonts w:ascii="Book Antiqua" w:hAnsi="Book Antiqua"/>
          <w:b/>
          <w:sz w:val="24"/>
          <w:szCs w:val="24"/>
        </w:rPr>
      </w:pPr>
    </w:p>
    <w:p w14:paraId="4010CFC3" w14:textId="77777777" w:rsidR="00D77B55" w:rsidRDefault="00D77B55" w:rsidP="007A368A">
      <w:pPr>
        <w:spacing w:before="100" w:beforeAutospacing="1" w:after="100" w:afterAutospacing="1" w:line="360" w:lineRule="auto"/>
        <w:jc w:val="center"/>
        <w:rPr>
          <w:rFonts w:ascii="Book Antiqua" w:hAnsi="Book Antiqua"/>
          <w:b/>
          <w:sz w:val="24"/>
          <w:szCs w:val="24"/>
        </w:rPr>
      </w:pPr>
    </w:p>
    <w:p w14:paraId="5FFF3FD5" w14:textId="77777777" w:rsidR="00D77B55" w:rsidRDefault="00D77B55" w:rsidP="007A368A">
      <w:pPr>
        <w:spacing w:before="100" w:beforeAutospacing="1" w:after="100" w:afterAutospacing="1" w:line="360" w:lineRule="auto"/>
        <w:jc w:val="center"/>
        <w:rPr>
          <w:rFonts w:ascii="Book Antiqua" w:hAnsi="Book Antiqua"/>
          <w:b/>
          <w:sz w:val="24"/>
          <w:szCs w:val="24"/>
        </w:rPr>
      </w:pPr>
    </w:p>
    <w:p w14:paraId="5E40BFF8" w14:textId="77777777" w:rsidR="00D77B55" w:rsidRDefault="00D77B55" w:rsidP="007A368A">
      <w:pPr>
        <w:spacing w:before="100" w:beforeAutospacing="1" w:after="100" w:afterAutospacing="1" w:line="360" w:lineRule="auto"/>
        <w:jc w:val="center"/>
        <w:rPr>
          <w:rFonts w:ascii="Book Antiqua" w:hAnsi="Book Antiqua"/>
          <w:b/>
          <w:sz w:val="24"/>
          <w:szCs w:val="24"/>
        </w:rPr>
      </w:pPr>
    </w:p>
    <w:p w14:paraId="75117504" w14:textId="77777777" w:rsidR="00D77B55" w:rsidRDefault="00D77B55" w:rsidP="007A368A">
      <w:pPr>
        <w:spacing w:before="100" w:beforeAutospacing="1" w:after="100" w:afterAutospacing="1" w:line="360" w:lineRule="auto"/>
        <w:jc w:val="center"/>
        <w:rPr>
          <w:rFonts w:ascii="Book Antiqua" w:hAnsi="Book Antiqua"/>
          <w:b/>
          <w:sz w:val="24"/>
          <w:szCs w:val="24"/>
        </w:rPr>
      </w:pPr>
    </w:p>
    <w:p w14:paraId="41F0E35E" w14:textId="77777777" w:rsidR="00D77B55" w:rsidRDefault="00D77B55" w:rsidP="00CC68A5">
      <w:pPr>
        <w:spacing w:before="100" w:beforeAutospacing="1" w:after="100" w:afterAutospacing="1" w:line="360" w:lineRule="auto"/>
        <w:rPr>
          <w:rFonts w:ascii="Book Antiqua" w:hAnsi="Book Antiqua"/>
          <w:b/>
          <w:sz w:val="24"/>
          <w:szCs w:val="24"/>
        </w:rPr>
      </w:pPr>
    </w:p>
    <w:p w14:paraId="14A68D0B" w14:textId="77777777" w:rsidR="007A368A" w:rsidRPr="005857A3" w:rsidRDefault="007A368A" w:rsidP="007A368A">
      <w:pPr>
        <w:spacing w:before="100" w:beforeAutospacing="1" w:after="100" w:afterAutospacing="1" w:line="360" w:lineRule="auto"/>
        <w:jc w:val="center"/>
        <w:rPr>
          <w:rFonts w:ascii="Book Antiqua" w:hAnsi="Book Antiqua"/>
          <w:b/>
          <w:sz w:val="24"/>
          <w:szCs w:val="24"/>
        </w:rPr>
      </w:pPr>
      <w:r w:rsidRPr="005857A3">
        <w:rPr>
          <w:rFonts w:ascii="Book Antiqua" w:hAnsi="Book Antiqua"/>
          <w:b/>
          <w:sz w:val="24"/>
          <w:szCs w:val="24"/>
        </w:rPr>
        <w:t>EXPOSICIÓN DE MOTIVOS</w:t>
      </w:r>
    </w:p>
    <w:p w14:paraId="547D8FD9" w14:textId="6B5A252D" w:rsidR="007A368A" w:rsidRPr="005857A3" w:rsidRDefault="007A368A" w:rsidP="007A368A">
      <w:pPr>
        <w:spacing w:before="100" w:beforeAutospacing="1" w:after="100" w:afterAutospacing="1" w:line="360" w:lineRule="auto"/>
        <w:jc w:val="center"/>
        <w:rPr>
          <w:rStyle w:val="baj"/>
          <w:rFonts w:ascii="Book Antiqua" w:hAnsi="Book Antiqua"/>
          <w:b/>
          <w:sz w:val="24"/>
          <w:szCs w:val="24"/>
        </w:rPr>
      </w:pPr>
      <w:r w:rsidRPr="005857A3">
        <w:rPr>
          <w:rStyle w:val="baj"/>
          <w:rFonts w:ascii="Book Antiqua" w:hAnsi="Book Antiqua" w:cs="Arial"/>
          <w:b/>
          <w:bCs/>
          <w:sz w:val="24"/>
          <w:szCs w:val="24"/>
        </w:rPr>
        <w:t>PROYECTO DE ACTO LEGISLATIVO NO. ________ DE 201</w:t>
      </w:r>
      <w:r w:rsidR="0049426A">
        <w:rPr>
          <w:rStyle w:val="baj"/>
          <w:rFonts w:ascii="Book Antiqua" w:hAnsi="Book Antiqua" w:cs="Arial"/>
          <w:b/>
          <w:bCs/>
          <w:sz w:val="24"/>
          <w:szCs w:val="24"/>
        </w:rPr>
        <w:t>9</w:t>
      </w:r>
    </w:p>
    <w:p w14:paraId="70046227" w14:textId="77777777" w:rsidR="007A368A" w:rsidRPr="005857A3" w:rsidRDefault="007A368A" w:rsidP="007A368A">
      <w:pPr>
        <w:pStyle w:val="centrado"/>
        <w:spacing w:line="360" w:lineRule="auto"/>
        <w:jc w:val="center"/>
        <w:rPr>
          <w:rFonts w:ascii="Book Antiqua" w:hAnsi="Book Antiqua" w:cs="Arial"/>
        </w:rPr>
      </w:pPr>
      <w:r w:rsidRPr="005857A3">
        <w:rPr>
          <w:rStyle w:val="baj"/>
          <w:rFonts w:ascii="Book Antiqua" w:hAnsi="Book Antiqua" w:cs="Arial"/>
          <w:b/>
          <w:bCs/>
        </w:rPr>
        <w:t xml:space="preserve">“Por la cual se modifica el Acto Legislativo 01 de 2017 y </w:t>
      </w:r>
      <w:r w:rsidRPr="005857A3">
        <w:rPr>
          <w:rStyle w:val="Textoennegrita"/>
          <w:rFonts w:ascii="Book Antiqua" w:hAnsi="Book Antiqua" w:cs="Arial"/>
          <w:shd w:val="clear" w:color="auto" w:fill="FFFFFF"/>
        </w:rPr>
        <w:t>se dictan otras disposiciones</w:t>
      </w:r>
      <w:r w:rsidRPr="005857A3">
        <w:rPr>
          <w:rStyle w:val="baj"/>
          <w:rFonts w:ascii="Book Antiqua" w:hAnsi="Book Antiqua" w:cs="Arial"/>
          <w:b/>
          <w:bCs/>
        </w:rPr>
        <w:t>”</w:t>
      </w:r>
    </w:p>
    <w:p w14:paraId="6455F7C0" w14:textId="77777777"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r w:rsidRPr="00D9493E">
        <w:rPr>
          <w:rFonts w:ascii="Book Antiqua" w:hAnsi="Book Antiqua"/>
          <w:color w:val="000000"/>
        </w:rPr>
        <w:t>El Gobierno de Juan Manuel Santos adelantó un proceso de negociación con las FACR-EP que dio lugar al denominado Acuerdo de la Habana. Como consecuencia de ese acuerdo se introdujeron modificaciones a la Constitución y la ley tendientes a recoger los acuerdos y asegurar su cumplimiento en el futuro. La creación de la JEP hace parte del desarrollo de esos acuerdos.</w:t>
      </w:r>
    </w:p>
    <w:p w14:paraId="634E6D99" w14:textId="77777777" w:rsidR="0049426A" w:rsidRPr="00D9493E" w:rsidRDefault="0049426A" w:rsidP="0049426A">
      <w:pPr>
        <w:pStyle w:val="estlos-gacetasp-rrafos"/>
        <w:shd w:val="clear" w:color="auto" w:fill="FFFFFF"/>
        <w:spacing w:before="45" w:beforeAutospacing="0" w:after="15" w:afterAutospacing="0" w:line="360" w:lineRule="auto"/>
        <w:ind w:right="30" w:firstLine="210"/>
        <w:jc w:val="both"/>
        <w:rPr>
          <w:rFonts w:ascii="Book Antiqua" w:hAnsi="Book Antiqua"/>
          <w:color w:val="000000"/>
        </w:rPr>
      </w:pPr>
    </w:p>
    <w:p w14:paraId="510E7929" w14:textId="77777777"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r w:rsidRPr="00D9493E">
        <w:rPr>
          <w:rFonts w:ascii="Book Antiqua" w:hAnsi="Book Antiqua"/>
          <w:color w:val="000000"/>
        </w:rPr>
        <w:t>Es importante resaltar que el Gobierno Santos fue reiterativo</w:t>
      </w:r>
      <w:hyperlink r:id="rId11" w:anchor="footnote-010" w:history="1">
        <w:r w:rsidRPr="00D9493E">
          <w:rPr>
            <w:rStyle w:val="Hipervnculo"/>
            <w:rFonts w:ascii="Book Antiqua" w:hAnsi="Book Antiqua"/>
            <w:vertAlign w:val="superscript"/>
          </w:rPr>
          <w:t>1</w:t>
        </w:r>
      </w:hyperlink>
      <w:r w:rsidRPr="00D9493E">
        <w:rPr>
          <w:rFonts w:ascii="Book Antiqua" w:hAnsi="Book Antiqua"/>
          <w:color w:val="000000"/>
        </w:rPr>
        <w:t> en expresar que el juzgamiento y tratamiento de las Fuerzas Armadas de Colombia no hacia parte de la mesa de negociación. El tratamiento jurisdiccional de la Fuerza Pública hacia parte de la voluntad exclusiva del Gobierno, y no era decidido por los negociadores del Gobierno ni mucho menos de las FARC. Es así, como la presente modificación de este acto legislativo no supone en lo absoluto una modificación de los Acuerdos de La Habana. El tema del tratamiento judicial de las Fuerzas Armadas No hace parte de los acuerdos.</w:t>
      </w:r>
    </w:p>
    <w:p w14:paraId="7C5ED69D" w14:textId="77777777"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p>
    <w:p w14:paraId="334AEFC3" w14:textId="77777777"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r w:rsidRPr="00D9493E">
        <w:rPr>
          <w:rFonts w:ascii="Book Antiqua" w:hAnsi="Book Antiqua"/>
          <w:color w:val="000000"/>
        </w:rPr>
        <w:t xml:space="preserve">El Gobierno Santos tomó la decisión de otorgarle a las FF.AA. un tratamiento simétrico y simultaneo; pero diferenciado. El propósito era suplir los errores de las </w:t>
      </w:r>
      <w:r w:rsidRPr="00D9493E">
        <w:rPr>
          <w:rFonts w:ascii="Book Antiqua" w:hAnsi="Book Antiqua"/>
          <w:color w:val="000000"/>
        </w:rPr>
        <w:lastRenderedPageBreak/>
        <w:t>negociaciones del pasado que otorgaron garantías judiciales a los grupos armados que se desmovilizaban, pero dejaban a las FF.AA. sin esas garantías teniendo como resultado un tratamiento no simétrico, y sobre todo altamente injusto. Los hombres de nuestras fuerzas terminaban judicializados en tanto los criminales ocupaban dignidades políticas luego de sus indultos y amnistías.</w:t>
      </w:r>
    </w:p>
    <w:p w14:paraId="5D5C3FEB" w14:textId="77777777"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p>
    <w:p w14:paraId="5CDCEBD2" w14:textId="77777777"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r w:rsidRPr="00D9493E">
        <w:rPr>
          <w:rFonts w:ascii="Book Antiqua" w:hAnsi="Book Antiqua"/>
          <w:color w:val="000000"/>
        </w:rPr>
        <w:t>Sin embargo, el Gobierno Santos no logró establecer el procedimiento diferenciado que requieren las FF.AA. Esta distinción obedece a la naturaleza absolutamente antagónica de las dos organizaciones. Por una parte, esta las FARC que era una organización criminal, con propósitos criminales. En tanto, la Fuerza Pública es una organización legítima del Estado de Derecho, cuyo actuar esta regido por la ley y que desarrolla el monopolio de las armas por parte del Estado. Las Fuerzas Armadas de Colombia han sido los ejércitos de nuestra democracia y han combatido en nombre y a favor del Estado legítimo. Los crímenes cometidos por sus miembros deben entenderse como una desviación del propósito de la fuerza pública.</w:t>
      </w:r>
    </w:p>
    <w:p w14:paraId="370CF004" w14:textId="77777777"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p>
    <w:p w14:paraId="224FCB48" w14:textId="576E0678"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r w:rsidRPr="00D9493E">
        <w:rPr>
          <w:rFonts w:ascii="Book Antiqua" w:hAnsi="Book Antiqua"/>
          <w:color w:val="000000"/>
        </w:rPr>
        <w:t xml:space="preserve">El procedimiento de selección de magistrados de la JEP es un procedimiento que satisface los requerimientos de las FARC frente a la imparcialidad que ellos esperan de quienes estarán encargados de juzgarlos. Cosa distinta sucede con la Fuerza Pública. Una selección de magistrados realizada por cinco personas, tres de ellos extranjeros, no da garantías a la fuerza pública colombiana, que como tal requiere unos magistrados que provengan de la democracia colombiana y no tengan ninguna injerencia extranjera. Las Fuerzas Armadas en casi todas las naciones gozan del fuero penal militar que garantiza el procedimiento </w:t>
      </w:r>
      <w:r w:rsidRPr="00D9493E">
        <w:rPr>
          <w:rFonts w:ascii="Book Antiqua" w:hAnsi="Book Antiqua"/>
          <w:color w:val="000000"/>
        </w:rPr>
        <w:lastRenderedPageBreak/>
        <w:t xml:space="preserve">diferenciado, y con conocimiento de las normas que los rigen. Por eso, el proyecto propone un nuevo segmento dentro de la estructura de la JEP, </w:t>
      </w:r>
      <w:r w:rsidRPr="00D9493E">
        <w:rPr>
          <w:rFonts w:ascii="Book Antiqua" w:hAnsi="Book Antiqua"/>
          <w:color w:val="000000"/>
        </w:rPr>
        <w:t xml:space="preserve">denominado JEP para la fuerza pública-JEP-FP- </w:t>
      </w:r>
      <w:r w:rsidRPr="00D9493E">
        <w:rPr>
          <w:rFonts w:ascii="Book Antiqua" w:hAnsi="Book Antiqua"/>
          <w:color w:val="000000"/>
        </w:rPr>
        <w:t>que contempla la creación de una Sala de Determinación de Competencia y varias Secciones dentro del Tribunal para la Paz especiales para miembros de la Fuerza Pública. Estas salas y secciones, por su sola incorporación al sistema le dan garantía de continuidad a los compromisos de los Acuerdos de la Habana con las FARC sobre su juzgamiento, y al mismo tiempo reivindica el principio de que el tratamiento a las Fuerzas Armadas será simétrico, simultaneo, pero diferenciado.</w:t>
      </w:r>
    </w:p>
    <w:p w14:paraId="06609489" w14:textId="77777777"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p>
    <w:p w14:paraId="6A364386" w14:textId="77777777"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r w:rsidRPr="00D9493E">
        <w:rPr>
          <w:rFonts w:ascii="Book Antiqua" w:hAnsi="Book Antiqua"/>
          <w:color w:val="000000"/>
        </w:rPr>
        <w:t>Las secciones del Tribunal para la Paz y la sala de competencia de la JEP creados en el presente Acto Legislativo serán paralelas, independientes pero simultáneas y simétricas. Se contará además con unos fiscales delegados por el Fiscal General de la Nación. El Presidente de la República será quien designe los Magistrados encargados de juzgar a las Fuerza Pública, y este nombramiento será refrendado por el Congreso. Los Magistrados podrán incluir miembros retirados de las fuerzas que cumplan con los requisitos.</w:t>
      </w:r>
    </w:p>
    <w:p w14:paraId="422EFF65" w14:textId="77777777"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p>
    <w:p w14:paraId="3EC958A0" w14:textId="77777777" w:rsidR="0049426A" w:rsidRPr="00D9493E" w:rsidRDefault="0049426A" w:rsidP="0049426A">
      <w:pPr>
        <w:pStyle w:val="estlos-gacetasp-rrafos"/>
        <w:shd w:val="clear" w:color="auto" w:fill="FFFFFF"/>
        <w:spacing w:before="45" w:beforeAutospacing="0" w:after="15" w:afterAutospacing="0" w:line="360" w:lineRule="auto"/>
        <w:ind w:right="30"/>
        <w:jc w:val="both"/>
        <w:rPr>
          <w:rFonts w:ascii="Book Antiqua" w:hAnsi="Book Antiqua"/>
          <w:color w:val="000000"/>
        </w:rPr>
      </w:pPr>
      <w:r w:rsidRPr="00D9493E">
        <w:rPr>
          <w:rFonts w:ascii="Book Antiqua" w:hAnsi="Book Antiqua"/>
          <w:color w:val="000000"/>
        </w:rPr>
        <w:t xml:space="preserve">Es por eso que este proyecto de Acto Legislativo, busca reivindicar el papel de la fuerza pública, procurando que los miembros activos y de la reserva de las Fuerzas Militares y la Policía Nacional de Colombia que sean llevados o acudan voluntariamente a la JEP, sean juzgados en secciones especiales y diferentes a aquellas destinadas a las Farc y los terceros, que cumpla además con los criterios de simetría y simultaneidad. Se busca garantizar un procedimiento diferenciado, con Magistrados seleccionados de manera objetiva, que acrediten conocimientos </w:t>
      </w:r>
      <w:r w:rsidRPr="00D9493E">
        <w:rPr>
          <w:rFonts w:ascii="Book Antiqua" w:hAnsi="Book Antiqua"/>
          <w:color w:val="000000"/>
        </w:rPr>
        <w:lastRenderedPageBreak/>
        <w:t>específicos en derecho internacional humanitario (DIH) y manuales operacionales de la fuerza pública. El conocimiento del DIH conocido popularmente como el "derecho de la guerra" es requisito indispensable, toda vez que las acciones de las Fuerzas deben juzgarse bajo los lineamientos de operaciones legales para mantener el orden público. Así, como quien juzgue las acciones de la Fuerza Pública debe conocer los manuales de operaciones de las Fuerzas, pues el correcto proceder de sus acciones está enmarcado en este cuadro de referencia. Desconocer alguno de los dos factores implica un juicio injusto, pues desconoce las reglas de combate que los rigen. El propósito es garantizar la plena observancia del debido proceso, y por supuesto, con absoluto compromiso con la verdad, la justicia, la reparación de las víctimas y las garantías de no repetición.</w:t>
      </w:r>
    </w:p>
    <w:p w14:paraId="3F01822F" w14:textId="65BD3E34" w:rsidR="00FB29C6" w:rsidRPr="00D9493E" w:rsidRDefault="00D9493E" w:rsidP="00D9493E">
      <w:pPr>
        <w:pStyle w:val="estlos-gacetasp-rrafos"/>
        <w:shd w:val="clear" w:color="auto" w:fill="FFFFFF"/>
        <w:spacing w:before="45" w:beforeAutospacing="0" w:after="15" w:afterAutospacing="0" w:line="360" w:lineRule="auto"/>
        <w:ind w:right="30"/>
        <w:jc w:val="both"/>
        <w:rPr>
          <w:rFonts w:ascii="Book Antiqua" w:hAnsi="Book Antiqua"/>
          <w:color w:val="000000"/>
        </w:rPr>
      </w:pPr>
      <w:r w:rsidRPr="00D9493E">
        <w:rPr>
          <w:rFonts w:ascii="Book Antiqua" w:hAnsi="Book Antiqua"/>
          <w:color w:val="000000"/>
        </w:rPr>
        <w:t xml:space="preserve"> </w:t>
      </w:r>
      <w:r w:rsidR="0049426A" w:rsidRPr="00D9493E">
        <w:rPr>
          <w:rFonts w:ascii="Book Antiqua" w:hAnsi="Book Antiqua"/>
          <w:color w:val="000000"/>
        </w:rPr>
        <w:t>Los artículos transitorios prevén el traslado de los procesos a la sala y secciones especiales para la Fuerza Pública creados en el presente Acto Legislativo y le otorgan al presidente la facultad de revisar el número de magistrados y funcionarios de la JEP, para reducirla si fuera el caso, dado que su tamaño puede resultar excesivo, en aras de preservar la austeridad del Estado y velar por el adecuado funcionamiento de la administración de justicia.</w:t>
      </w:r>
    </w:p>
    <w:p w14:paraId="18FE6AF4" w14:textId="77777777" w:rsidR="007A368A" w:rsidRDefault="007A368A" w:rsidP="00FB29C6">
      <w:pPr>
        <w:spacing w:before="100" w:beforeAutospacing="1" w:after="100" w:afterAutospacing="1" w:line="360" w:lineRule="auto"/>
        <w:jc w:val="both"/>
        <w:rPr>
          <w:rFonts w:ascii="Book Antiqua" w:hAnsi="Book Antiqua" w:cs="Helvetica"/>
          <w:sz w:val="24"/>
          <w:szCs w:val="24"/>
        </w:rPr>
      </w:pPr>
      <w:r w:rsidRPr="00FB29C6">
        <w:rPr>
          <w:rFonts w:ascii="Book Antiqua" w:hAnsi="Book Antiqua" w:cs="Helvetica"/>
          <w:sz w:val="24"/>
          <w:szCs w:val="24"/>
        </w:rPr>
        <w:t>Cordialmente,</w:t>
      </w:r>
    </w:p>
    <w:p w14:paraId="2D63F32D" w14:textId="77777777" w:rsidR="00D9493E" w:rsidRPr="00FB29C6" w:rsidRDefault="00D9493E" w:rsidP="00FB29C6">
      <w:pPr>
        <w:spacing w:before="100" w:beforeAutospacing="1" w:after="100" w:afterAutospacing="1" w:line="360" w:lineRule="auto"/>
        <w:jc w:val="both"/>
        <w:rPr>
          <w:rFonts w:ascii="Book Antiqua" w:hAnsi="Book Antiqua" w:cs="Helvetica"/>
          <w:sz w:val="24"/>
          <w:szCs w:val="24"/>
        </w:rPr>
      </w:pPr>
    </w:p>
    <w:p w14:paraId="2C72A2D2" w14:textId="62B9FFF6" w:rsidR="00D9493E" w:rsidRPr="00FB29C6" w:rsidRDefault="00D9493E" w:rsidP="00D9493E">
      <w:pPr>
        <w:spacing w:after="0" w:line="360" w:lineRule="auto"/>
        <w:jc w:val="center"/>
        <w:rPr>
          <w:rFonts w:ascii="Book Antiqua" w:hAnsi="Book Antiqua" w:cs="Helvetica"/>
          <w:b/>
          <w:sz w:val="24"/>
          <w:szCs w:val="24"/>
        </w:rPr>
      </w:pPr>
      <w:r w:rsidRPr="00FB29C6">
        <w:rPr>
          <w:rFonts w:ascii="Book Antiqua" w:hAnsi="Book Antiqua" w:cs="Helvetica"/>
          <w:b/>
          <w:sz w:val="24"/>
          <w:szCs w:val="24"/>
        </w:rPr>
        <w:t>Álvaro Uribe Vélez</w:t>
      </w:r>
      <w:r>
        <w:rPr>
          <w:rFonts w:ascii="Book Antiqua" w:hAnsi="Book Antiqua" w:cs="Helvetica"/>
          <w:b/>
          <w:sz w:val="24"/>
          <w:szCs w:val="24"/>
        </w:rPr>
        <w:t xml:space="preserve">                                                        </w:t>
      </w:r>
      <w:bookmarkStart w:id="0" w:name="_GoBack"/>
      <w:bookmarkEnd w:id="0"/>
      <w:r>
        <w:rPr>
          <w:rFonts w:ascii="Book Antiqua" w:hAnsi="Book Antiqua" w:cs="Helvetica"/>
          <w:b/>
          <w:sz w:val="24"/>
          <w:szCs w:val="24"/>
        </w:rPr>
        <w:t xml:space="preserve">         Paloma Valencia-Laserna</w:t>
      </w:r>
    </w:p>
    <w:p w14:paraId="44DD0CF5" w14:textId="687778EF" w:rsidR="00D9493E" w:rsidRPr="00FB29C6" w:rsidRDefault="00D9493E" w:rsidP="00D9493E">
      <w:pPr>
        <w:spacing w:after="0" w:line="360" w:lineRule="auto"/>
        <w:rPr>
          <w:rFonts w:ascii="Book Antiqua" w:hAnsi="Book Antiqua" w:cs="Helvetica"/>
          <w:b/>
          <w:sz w:val="24"/>
          <w:szCs w:val="24"/>
        </w:rPr>
      </w:pPr>
      <w:r w:rsidRPr="00FB29C6">
        <w:rPr>
          <w:rFonts w:ascii="Book Antiqua" w:hAnsi="Book Antiqua" w:cs="Helvetica"/>
          <w:b/>
          <w:sz w:val="24"/>
          <w:szCs w:val="24"/>
        </w:rPr>
        <w:t>Senador de la República</w:t>
      </w:r>
      <w:r>
        <w:rPr>
          <w:rFonts w:ascii="Book Antiqua" w:hAnsi="Book Antiqua" w:cs="Helvetica"/>
          <w:b/>
          <w:sz w:val="24"/>
          <w:szCs w:val="24"/>
        </w:rPr>
        <w:t xml:space="preserve">                                                        Senadora de la República </w:t>
      </w:r>
    </w:p>
    <w:p w14:paraId="6CDC8068" w14:textId="503A2C15" w:rsidR="007A368A" w:rsidRPr="00FB29C6" w:rsidRDefault="007A368A" w:rsidP="00FB29C6">
      <w:pPr>
        <w:spacing w:before="100" w:beforeAutospacing="1" w:after="100" w:afterAutospacing="1" w:line="360" w:lineRule="auto"/>
        <w:jc w:val="center"/>
        <w:rPr>
          <w:rFonts w:ascii="Book Antiqua" w:hAnsi="Book Antiqua" w:cs="Helvetica"/>
          <w:b/>
          <w:sz w:val="24"/>
          <w:szCs w:val="24"/>
        </w:rPr>
        <w:sectPr w:rsidR="007A368A" w:rsidRPr="00FB29C6" w:rsidSect="007A368A">
          <w:headerReference w:type="default" r:id="rId12"/>
          <w:footerReference w:type="default" r:id="rId13"/>
          <w:type w:val="continuous"/>
          <w:pgSz w:w="12240" w:h="15840" w:code="1"/>
          <w:pgMar w:top="1701" w:right="1701" w:bottom="1701" w:left="1701" w:header="709" w:footer="709" w:gutter="0"/>
          <w:cols w:space="708"/>
          <w:docGrid w:linePitch="360"/>
        </w:sectPr>
      </w:pPr>
    </w:p>
    <w:p w14:paraId="40054F2B" w14:textId="51F9AB5E" w:rsidR="000C794E" w:rsidRPr="00D77B55" w:rsidRDefault="007A368A" w:rsidP="00D9493E">
      <w:pPr>
        <w:spacing w:before="100" w:beforeAutospacing="1" w:after="100" w:afterAutospacing="1" w:line="360" w:lineRule="auto"/>
        <w:rPr>
          <w:rFonts w:ascii="Book Antiqua" w:hAnsi="Book Antiqua" w:cs="Helvetica"/>
          <w:b/>
          <w:sz w:val="24"/>
          <w:szCs w:val="24"/>
        </w:rPr>
      </w:pPr>
      <w:r w:rsidRPr="00FB29C6">
        <w:rPr>
          <w:rFonts w:ascii="Book Antiqua" w:hAnsi="Book Antiqua" w:cs="Helvetica"/>
          <w:b/>
          <w:sz w:val="24"/>
          <w:szCs w:val="24"/>
        </w:rPr>
        <w:lastRenderedPageBreak/>
        <w:t xml:space="preserve"> </w:t>
      </w:r>
    </w:p>
    <w:sectPr w:rsidR="000C794E" w:rsidRPr="00D77B55" w:rsidSect="00750F19">
      <w:headerReference w:type="default" r:id="rId14"/>
      <w:footerReference w:type="default" r:id="rId15"/>
      <w:type w:val="continuous"/>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CA2BB" w14:textId="77777777" w:rsidR="00BD0A83" w:rsidRDefault="00BD0A83" w:rsidP="00705C2B">
      <w:pPr>
        <w:spacing w:after="0" w:line="240" w:lineRule="auto"/>
      </w:pPr>
      <w:r>
        <w:separator/>
      </w:r>
    </w:p>
  </w:endnote>
  <w:endnote w:type="continuationSeparator" w:id="0">
    <w:p w14:paraId="7A59B190" w14:textId="77777777" w:rsidR="00BD0A83" w:rsidRDefault="00BD0A83" w:rsidP="0070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101271"/>
      <w:docPartObj>
        <w:docPartGallery w:val="Page Numbers (Bottom of Page)"/>
        <w:docPartUnique/>
      </w:docPartObj>
    </w:sdtPr>
    <w:sdtEndPr/>
    <w:sdtContent>
      <w:p w14:paraId="5E1B9E5D" w14:textId="77777777" w:rsidR="00102C14" w:rsidRDefault="00102C14">
        <w:pPr>
          <w:pStyle w:val="Piedepgina"/>
          <w:jc w:val="right"/>
        </w:pPr>
        <w:r>
          <w:fldChar w:fldCharType="begin"/>
        </w:r>
        <w:r>
          <w:instrText>PAGE   \* MERGEFORMAT</w:instrText>
        </w:r>
        <w:r>
          <w:fldChar w:fldCharType="separate"/>
        </w:r>
        <w:r w:rsidR="0049426A" w:rsidRPr="0049426A">
          <w:rPr>
            <w:noProof/>
            <w:lang w:val="es-ES"/>
          </w:rPr>
          <w:t>5</w:t>
        </w:r>
        <w:r>
          <w:fldChar w:fldCharType="end"/>
        </w:r>
      </w:p>
    </w:sdtContent>
  </w:sdt>
  <w:p w14:paraId="649743EE" w14:textId="77777777" w:rsidR="00102C14" w:rsidRDefault="00102C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99259"/>
      <w:docPartObj>
        <w:docPartGallery w:val="Page Numbers (Bottom of Page)"/>
        <w:docPartUnique/>
      </w:docPartObj>
    </w:sdtPr>
    <w:sdtEndPr/>
    <w:sdtContent>
      <w:p w14:paraId="2A7523DC" w14:textId="77777777" w:rsidR="00102C14" w:rsidRDefault="00102C14">
        <w:pPr>
          <w:pStyle w:val="Piedepgina"/>
          <w:jc w:val="right"/>
        </w:pPr>
        <w:r>
          <w:fldChar w:fldCharType="begin"/>
        </w:r>
        <w:r>
          <w:instrText>PAGE   \* MERGEFORMAT</w:instrText>
        </w:r>
        <w:r>
          <w:fldChar w:fldCharType="separate"/>
        </w:r>
        <w:r w:rsidR="00D9493E" w:rsidRPr="00D9493E">
          <w:rPr>
            <w:noProof/>
            <w:lang w:val="es-ES"/>
          </w:rPr>
          <w:t>7</w:t>
        </w:r>
        <w:r>
          <w:fldChar w:fldCharType="end"/>
        </w:r>
      </w:p>
    </w:sdtContent>
  </w:sdt>
  <w:p w14:paraId="6AED6EAF" w14:textId="77777777" w:rsidR="00102C14" w:rsidRDefault="00102C1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444953"/>
      <w:docPartObj>
        <w:docPartGallery w:val="Page Numbers (Bottom of Page)"/>
        <w:docPartUnique/>
      </w:docPartObj>
    </w:sdtPr>
    <w:sdtEndPr/>
    <w:sdtContent>
      <w:p w14:paraId="274D5FC7" w14:textId="77777777" w:rsidR="00102C14" w:rsidRDefault="00102C14">
        <w:pPr>
          <w:pStyle w:val="Piedepgina"/>
          <w:jc w:val="right"/>
        </w:pPr>
        <w:r>
          <w:fldChar w:fldCharType="begin"/>
        </w:r>
        <w:r>
          <w:instrText>PAGE   \* MERGEFORMAT</w:instrText>
        </w:r>
        <w:r>
          <w:fldChar w:fldCharType="separate"/>
        </w:r>
        <w:r w:rsidR="00D9493E" w:rsidRPr="00D9493E">
          <w:rPr>
            <w:noProof/>
            <w:lang w:val="es-ES"/>
          </w:rPr>
          <w:t>10</w:t>
        </w:r>
        <w:r>
          <w:fldChar w:fldCharType="end"/>
        </w:r>
      </w:p>
    </w:sdtContent>
  </w:sdt>
  <w:p w14:paraId="5E6018BA" w14:textId="77777777" w:rsidR="00102C14" w:rsidRDefault="00102C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85DA2" w14:textId="77777777" w:rsidR="00BD0A83" w:rsidRDefault="00BD0A83" w:rsidP="00705C2B">
      <w:pPr>
        <w:spacing w:after="0" w:line="240" w:lineRule="auto"/>
      </w:pPr>
      <w:r>
        <w:separator/>
      </w:r>
    </w:p>
  </w:footnote>
  <w:footnote w:type="continuationSeparator" w:id="0">
    <w:p w14:paraId="57E94ACB" w14:textId="77777777" w:rsidR="00BD0A83" w:rsidRDefault="00BD0A83" w:rsidP="00705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5814" w14:textId="77777777" w:rsidR="00102C14" w:rsidRDefault="00102C14" w:rsidP="000C794E">
    <w:pPr>
      <w:pStyle w:val="Encabezado"/>
      <w:jc w:val="right"/>
    </w:pPr>
    <w:r>
      <w:rPr>
        <w:noProof/>
        <w:sz w:val="16"/>
        <w:szCs w:val="16"/>
        <w:lang w:val="es-ES" w:eastAsia="es-ES"/>
      </w:rPr>
      <w:drawing>
        <wp:inline distT="0" distB="0" distL="0" distR="0" wp14:anchorId="69C50AA3" wp14:editId="4735EC33">
          <wp:extent cx="1277636" cy="1139281"/>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642" cy="1140178"/>
                  </a:xfrm>
                  <a:prstGeom prst="rect">
                    <a:avLst/>
                  </a:prstGeom>
                  <a:noFill/>
                  <a:ln>
                    <a:noFill/>
                  </a:ln>
                </pic:spPr>
              </pic:pic>
            </a:graphicData>
          </a:graphic>
        </wp:inline>
      </w:drawing>
    </w:r>
  </w:p>
  <w:p w14:paraId="7511E6D5" w14:textId="77777777" w:rsidR="00102C14" w:rsidRDefault="00102C14" w:rsidP="000C794E">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4F75B" w14:textId="77777777" w:rsidR="00102C14" w:rsidRDefault="00102C14" w:rsidP="000C794E">
    <w:pPr>
      <w:pStyle w:val="Encabezado"/>
      <w:jc w:val="right"/>
    </w:pPr>
    <w:r>
      <w:rPr>
        <w:noProof/>
        <w:sz w:val="16"/>
        <w:szCs w:val="16"/>
        <w:lang w:val="es-ES" w:eastAsia="es-ES"/>
      </w:rPr>
      <w:drawing>
        <wp:inline distT="0" distB="0" distL="0" distR="0" wp14:anchorId="1911F32E" wp14:editId="60AAF896">
          <wp:extent cx="1277636" cy="1139281"/>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642" cy="1140178"/>
                  </a:xfrm>
                  <a:prstGeom prst="rect">
                    <a:avLst/>
                  </a:prstGeom>
                  <a:noFill/>
                  <a:ln>
                    <a:noFill/>
                  </a:ln>
                </pic:spPr>
              </pic:pic>
            </a:graphicData>
          </a:graphic>
        </wp:inline>
      </w:drawing>
    </w:r>
  </w:p>
  <w:p w14:paraId="61A206F8" w14:textId="77777777" w:rsidR="00102C14" w:rsidRDefault="00102C14" w:rsidP="000C794E">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C29DE" w14:textId="77777777" w:rsidR="00102C14" w:rsidRDefault="00102C14" w:rsidP="000C794E">
    <w:pPr>
      <w:pStyle w:val="Encabezado"/>
      <w:jc w:val="right"/>
    </w:pPr>
    <w:r>
      <w:rPr>
        <w:noProof/>
        <w:sz w:val="16"/>
        <w:szCs w:val="16"/>
        <w:lang w:val="es-ES" w:eastAsia="es-ES"/>
      </w:rPr>
      <w:drawing>
        <wp:inline distT="0" distB="0" distL="0" distR="0" wp14:anchorId="7AB34A53" wp14:editId="4B373E46">
          <wp:extent cx="1277636" cy="1139281"/>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642" cy="1140178"/>
                  </a:xfrm>
                  <a:prstGeom prst="rect">
                    <a:avLst/>
                  </a:prstGeom>
                  <a:noFill/>
                  <a:ln>
                    <a:noFill/>
                  </a:ln>
                </pic:spPr>
              </pic:pic>
            </a:graphicData>
          </a:graphic>
        </wp:inline>
      </w:drawing>
    </w:r>
  </w:p>
  <w:p w14:paraId="28FF10AD" w14:textId="77777777" w:rsidR="00102C14" w:rsidRDefault="00102C14" w:rsidP="000C794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7F8"/>
    <w:multiLevelType w:val="hybridMultilevel"/>
    <w:tmpl w:val="62143268"/>
    <w:lvl w:ilvl="0" w:tplc="1BEEC3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0468F9"/>
    <w:multiLevelType w:val="hybridMultilevel"/>
    <w:tmpl w:val="973EADD0"/>
    <w:lvl w:ilvl="0" w:tplc="4F18D2C0">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nsid w:val="2A83208A"/>
    <w:multiLevelType w:val="hybridMultilevel"/>
    <w:tmpl w:val="4FF621E4"/>
    <w:lvl w:ilvl="0" w:tplc="240A0013">
      <w:start w:val="1"/>
      <w:numFmt w:val="upperRoman"/>
      <w:lvlText w:val="%1."/>
      <w:lvlJc w:val="righ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33451753"/>
    <w:multiLevelType w:val="hybridMultilevel"/>
    <w:tmpl w:val="07BC32F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430677AE"/>
    <w:multiLevelType w:val="hybridMultilevel"/>
    <w:tmpl w:val="D96CA674"/>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4C50C9A"/>
    <w:multiLevelType w:val="hybridMultilevel"/>
    <w:tmpl w:val="030ADE84"/>
    <w:lvl w:ilvl="0" w:tplc="A98871BE">
      <w:start w:val="1"/>
      <w:numFmt w:val="bullet"/>
      <w:lvlText w:val="-"/>
      <w:lvlJc w:val="left"/>
      <w:pPr>
        <w:ind w:left="1425" w:hanging="360"/>
      </w:pPr>
      <w:rPr>
        <w:rFonts w:ascii="Book Antiqua" w:eastAsiaTheme="majorEastAsia" w:hAnsi="Book Antiqua" w:cstheme="majorBidi"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6">
    <w:nsid w:val="48A52C2C"/>
    <w:multiLevelType w:val="multilevel"/>
    <w:tmpl w:val="B854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3B0487"/>
    <w:multiLevelType w:val="multilevel"/>
    <w:tmpl w:val="BE20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8E"/>
    <w:rsid w:val="00000905"/>
    <w:rsid w:val="000207AF"/>
    <w:rsid w:val="00021169"/>
    <w:rsid w:val="0003339E"/>
    <w:rsid w:val="00034448"/>
    <w:rsid w:val="00051569"/>
    <w:rsid w:val="00067270"/>
    <w:rsid w:val="00077E52"/>
    <w:rsid w:val="00090918"/>
    <w:rsid w:val="000B646C"/>
    <w:rsid w:val="000B6D2C"/>
    <w:rsid w:val="000C2839"/>
    <w:rsid w:val="000C794E"/>
    <w:rsid w:val="00102C14"/>
    <w:rsid w:val="001077FB"/>
    <w:rsid w:val="00113602"/>
    <w:rsid w:val="0011570B"/>
    <w:rsid w:val="0012082B"/>
    <w:rsid w:val="00122FEC"/>
    <w:rsid w:val="00135EEE"/>
    <w:rsid w:val="0017097E"/>
    <w:rsid w:val="00176BC8"/>
    <w:rsid w:val="001837D8"/>
    <w:rsid w:val="00183B1A"/>
    <w:rsid w:val="00190B6E"/>
    <w:rsid w:val="001A0BA4"/>
    <w:rsid w:val="001A5175"/>
    <w:rsid w:val="001C13A4"/>
    <w:rsid w:val="001C4AF2"/>
    <w:rsid w:val="002003E9"/>
    <w:rsid w:val="00217F6D"/>
    <w:rsid w:val="0022598B"/>
    <w:rsid w:val="00253801"/>
    <w:rsid w:val="00264019"/>
    <w:rsid w:val="00287214"/>
    <w:rsid w:val="00287D22"/>
    <w:rsid w:val="002A1CA3"/>
    <w:rsid w:val="002A411A"/>
    <w:rsid w:val="002A772C"/>
    <w:rsid w:val="002D0104"/>
    <w:rsid w:val="00303F21"/>
    <w:rsid w:val="00316FD9"/>
    <w:rsid w:val="00321618"/>
    <w:rsid w:val="00321BB0"/>
    <w:rsid w:val="00333271"/>
    <w:rsid w:val="003476CD"/>
    <w:rsid w:val="00394E3D"/>
    <w:rsid w:val="003C10E7"/>
    <w:rsid w:val="003D58C8"/>
    <w:rsid w:val="003E0F49"/>
    <w:rsid w:val="00403E82"/>
    <w:rsid w:val="00417B2F"/>
    <w:rsid w:val="00420EC3"/>
    <w:rsid w:val="00436711"/>
    <w:rsid w:val="00437DF4"/>
    <w:rsid w:val="0044043B"/>
    <w:rsid w:val="00473867"/>
    <w:rsid w:val="00475402"/>
    <w:rsid w:val="0049426A"/>
    <w:rsid w:val="00495EDF"/>
    <w:rsid w:val="004A35D9"/>
    <w:rsid w:val="004B174E"/>
    <w:rsid w:val="004B66D3"/>
    <w:rsid w:val="004C3906"/>
    <w:rsid w:val="004C46FC"/>
    <w:rsid w:val="004F16AA"/>
    <w:rsid w:val="00515EA6"/>
    <w:rsid w:val="00521826"/>
    <w:rsid w:val="0053440D"/>
    <w:rsid w:val="00557520"/>
    <w:rsid w:val="00570926"/>
    <w:rsid w:val="005857A3"/>
    <w:rsid w:val="00587189"/>
    <w:rsid w:val="005873D5"/>
    <w:rsid w:val="005A08E7"/>
    <w:rsid w:val="005A6262"/>
    <w:rsid w:val="005E2B16"/>
    <w:rsid w:val="00612826"/>
    <w:rsid w:val="00616FDF"/>
    <w:rsid w:val="00640F65"/>
    <w:rsid w:val="006526D1"/>
    <w:rsid w:val="00665C8B"/>
    <w:rsid w:val="00671458"/>
    <w:rsid w:val="0068652A"/>
    <w:rsid w:val="006C125F"/>
    <w:rsid w:val="006C2398"/>
    <w:rsid w:val="006E54AC"/>
    <w:rsid w:val="007023B3"/>
    <w:rsid w:val="00704527"/>
    <w:rsid w:val="00705C2B"/>
    <w:rsid w:val="00721355"/>
    <w:rsid w:val="00722E42"/>
    <w:rsid w:val="007243BE"/>
    <w:rsid w:val="00750F19"/>
    <w:rsid w:val="0076464C"/>
    <w:rsid w:val="00776F8E"/>
    <w:rsid w:val="00797B07"/>
    <w:rsid w:val="007A368A"/>
    <w:rsid w:val="007A5936"/>
    <w:rsid w:val="007B75C0"/>
    <w:rsid w:val="007D2FA2"/>
    <w:rsid w:val="007E3392"/>
    <w:rsid w:val="007E6639"/>
    <w:rsid w:val="007F2ED6"/>
    <w:rsid w:val="008056C0"/>
    <w:rsid w:val="0082449D"/>
    <w:rsid w:val="008271E6"/>
    <w:rsid w:val="00862B2D"/>
    <w:rsid w:val="008850FF"/>
    <w:rsid w:val="008B36A9"/>
    <w:rsid w:val="008E0EF9"/>
    <w:rsid w:val="008F1C55"/>
    <w:rsid w:val="008F7A7E"/>
    <w:rsid w:val="00902704"/>
    <w:rsid w:val="009040ED"/>
    <w:rsid w:val="00931067"/>
    <w:rsid w:val="00933AF5"/>
    <w:rsid w:val="00956B48"/>
    <w:rsid w:val="00967539"/>
    <w:rsid w:val="009809B0"/>
    <w:rsid w:val="00994035"/>
    <w:rsid w:val="009D1D85"/>
    <w:rsid w:val="00A03AE8"/>
    <w:rsid w:val="00A109D7"/>
    <w:rsid w:val="00A132FC"/>
    <w:rsid w:val="00A23889"/>
    <w:rsid w:val="00A23977"/>
    <w:rsid w:val="00A34549"/>
    <w:rsid w:val="00A41F3D"/>
    <w:rsid w:val="00A47038"/>
    <w:rsid w:val="00A5473A"/>
    <w:rsid w:val="00A55E65"/>
    <w:rsid w:val="00A620FE"/>
    <w:rsid w:val="00A6644D"/>
    <w:rsid w:val="00A80102"/>
    <w:rsid w:val="00A81D01"/>
    <w:rsid w:val="00AA105A"/>
    <w:rsid w:val="00AC4B4C"/>
    <w:rsid w:val="00AD0689"/>
    <w:rsid w:val="00AE4A57"/>
    <w:rsid w:val="00AE4F40"/>
    <w:rsid w:val="00AE79E8"/>
    <w:rsid w:val="00B213CC"/>
    <w:rsid w:val="00B266A4"/>
    <w:rsid w:val="00B33B9C"/>
    <w:rsid w:val="00B63629"/>
    <w:rsid w:val="00B64AFB"/>
    <w:rsid w:val="00B70333"/>
    <w:rsid w:val="00B721FE"/>
    <w:rsid w:val="00BA00A9"/>
    <w:rsid w:val="00BA2AD3"/>
    <w:rsid w:val="00BC3E69"/>
    <w:rsid w:val="00BD0A83"/>
    <w:rsid w:val="00BD2AF2"/>
    <w:rsid w:val="00BE70B8"/>
    <w:rsid w:val="00BF02DF"/>
    <w:rsid w:val="00C05581"/>
    <w:rsid w:val="00C13776"/>
    <w:rsid w:val="00C22DB2"/>
    <w:rsid w:val="00C25F50"/>
    <w:rsid w:val="00C6264A"/>
    <w:rsid w:val="00C66A60"/>
    <w:rsid w:val="00C85F65"/>
    <w:rsid w:val="00CA01A9"/>
    <w:rsid w:val="00CA5257"/>
    <w:rsid w:val="00CB0E10"/>
    <w:rsid w:val="00CB635D"/>
    <w:rsid w:val="00CC3F20"/>
    <w:rsid w:val="00CC4B58"/>
    <w:rsid w:val="00CC68A5"/>
    <w:rsid w:val="00CD28B8"/>
    <w:rsid w:val="00CF0556"/>
    <w:rsid w:val="00CF0E78"/>
    <w:rsid w:val="00D35BAA"/>
    <w:rsid w:val="00D75CE9"/>
    <w:rsid w:val="00D77B55"/>
    <w:rsid w:val="00D81571"/>
    <w:rsid w:val="00D83013"/>
    <w:rsid w:val="00D85D9E"/>
    <w:rsid w:val="00D92AAC"/>
    <w:rsid w:val="00D9493E"/>
    <w:rsid w:val="00D95D01"/>
    <w:rsid w:val="00DA575F"/>
    <w:rsid w:val="00DB31B9"/>
    <w:rsid w:val="00DD2957"/>
    <w:rsid w:val="00DF43CF"/>
    <w:rsid w:val="00E3058E"/>
    <w:rsid w:val="00E54265"/>
    <w:rsid w:val="00E83BBA"/>
    <w:rsid w:val="00EB0046"/>
    <w:rsid w:val="00EB2748"/>
    <w:rsid w:val="00ED1011"/>
    <w:rsid w:val="00EE01CB"/>
    <w:rsid w:val="00F116A5"/>
    <w:rsid w:val="00F17539"/>
    <w:rsid w:val="00F413CA"/>
    <w:rsid w:val="00F77D21"/>
    <w:rsid w:val="00F8165A"/>
    <w:rsid w:val="00F9627D"/>
    <w:rsid w:val="00FB04E2"/>
    <w:rsid w:val="00FB29C6"/>
    <w:rsid w:val="00FB51E7"/>
    <w:rsid w:val="00FB5C0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42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8E"/>
  </w:style>
  <w:style w:type="paragraph" w:styleId="Ttulo1">
    <w:name w:val="heading 1"/>
    <w:basedOn w:val="Normal"/>
    <w:next w:val="Normal"/>
    <w:link w:val="Ttulo1Car"/>
    <w:uiPriority w:val="9"/>
    <w:qFormat/>
    <w:rsid w:val="004404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058E"/>
    <w:pPr>
      <w:ind w:left="720"/>
      <w:contextualSpacing/>
    </w:pPr>
  </w:style>
  <w:style w:type="paragraph" w:styleId="Textonotapie">
    <w:name w:val="footnote text"/>
    <w:basedOn w:val="Normal"/>
    <w:link w:val="TextonotapieCar"/>
    <w:uiPriority w:val="99"/>
    <w:semiHidden/>
    <w:unhideWhenUsed/>
    <w:rsid w:val="00705C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5C2B"/>
    <w:rPr>
      <w:sz w:val="20"/>
      <w:szCs w:val="20"/>
    </w:rPr>
  </w:style>
  <w:style w:type="character" w:styleId="Refdenotaalpie">
    <w:name w:val="footnote reference"/>
    <w:basedOn w:val="Fuentedeprrafopredeter"/>
    <w:uiPriority w:val="99"/>
    <w:semiHidden/>
    <w:unhideWhenUsed/>
    <w:rsid w:val="00705C2B"/>
    <w:rPr>
      <w:vertAlign w:val="superscript"/>
    </w:rPr>
  </w:style>
  <w:style w:type="character" w:styleId="Hipervnculo">
    <w:name w:val="Hyperlink"/>
    <w:basedOn w:val="Fuentedeprrafopredeter"/>
    <w:uiPriority w:val="99"/>
    <w:unhideWhenUsed/>
    <w:rsid w:val="00705C2B"/>
    <w:rPr>
      <w:color w:val="0563C1" w:themeColor="hyperlink"/>
      <w:u w:val="single"/>
    </w:rPr>
  </w:style>
  <w:style w:type="table" w:styleId="Tablaconcuadrcula">
    <w:name w:val="Table Grid"/>
    <w:basedOn w:val="Tablanormal"/>
    <w:uiPriority w:val="39"/>
    <w:rsid w:val="00EE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274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13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3602"/>
  </w:style>
  <w:style w:type="paragraph" w:styleId="Piedepgina">
    <w:name w:val="footer"/>
    <w:basedOn w:val="Normal"/>
    <w:link w:val="PiedepginaCar"/>
    <w:uiPriority w:val="99"/>
    <w:unhideWhenUsed/>
    <w:rsid w:val="00113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3602"/>
  </w:style>
  <w:style w:type="paragraph" w:styleId="Textodeglobo">
    <w:name w:val="Balloon Text"/>
    <w:basedOn w:val="Normal"/>
    <w:link w:val="TextodegloboCar"/>
    <w:uiPriority w:val="99"/>
    <w:semiHidden/>
    <w:unhideWhenUsed/>
    <w:rsid w:val="00994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035"/>
    <w:rPr>
      <w:rFonts w:ascii="Tahoma" w:hAnsi="Tahoma" w:cs="Tahoma"/>
      <w:sz w:val="16"/>
      <w:szCs w:val="16"/>
    </w:rPr>
  </w:style>
  <w:style w:type="character" w:customStyle="1" w:styleId="Ttulo1Car">
    <w:name w:val="Título 1 Car"/>
    <w:basedOn w:val="Fuentedeprrafopredeter"/>
    <w:link w:val="Ttulo1"/>
    <w:uiPriority w:val="9"/>
    <w:rsid w:val="0044043B"/>
    <w:rPr>
      <w:rFonts w:asciiTheme="majorHAnsi" w:eastAsiaTheme="majorEastAsia" w:hAnsiTheme="majorHAnsi" w:cstheme="majorBidi"/>
      <w:b/>
      <w:bCs/>
      <w:color w:val="2E74B5" w:themeColor="accent1" w:themeShade="BF"/>
      <w:sz w:val="28"/>
      <w:szCs w:val="28"/>
    </w:rPr>
  </w:style>
  <w:style w:type="paragraph" w:customStyle="1" w:styleId="centrado">
    <w:name w:val="centrado"/>
    <w:basedOn w:val="Normal"/>
    <w:rsid w:val="00135EE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135EEE"/>
  </w:style>
  <w:style w:type="character" w:styleId="Textoennegrita">
    <w:name w:val="Strong"/>
    <w:basedOn w:val="Fuentedeprrafopredeter"/>
    <w:uiPriority w:val="22"/>
    <w:qFormat/>
    <w:rsid w:val="00135EEE"/>
    <w:rPr>
      <w:b/>
      <w:bCs/>
    </w:rPr>
  </w:style>
  <w:style w:type="paragraph" w:customStyle="1" w:styleId="estlos-gacetasp-rrafos">
    <w:name w:val="estlos-gacetas_p-rrafos"/>
    <w:basedOn w:val="Normal"/>
    <w:rsid w:val="00CC68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haroverride-2">
    <w:name w:val="charoverride-2"/>
    <w:basedOn w:val="Fuentedeprrafopredeter"/>
    <w:rsid w:val="00CC68A5"/>
  </w:style>
  <w:style w:type="paragraph" w:customStyle="1" w:styleId="estlos-gacetasvieta-tabulado">
    <w:name w:val="estlos-gacetas_viñeta-tabulado"/>
    <w:basedOn w:val="Normal"/>
    <w:rsid w:val="00CC68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haroverride-3">
    <w:name w:val="charoverride-3"/>
    <w:basedOn w:val="Fuentedeprrafopredeter"/>
    <w:rsid w:val="00CC68A5"/>
  </w:style>
  <w:style w:type="character" w:customStyle="1" w:styleId="charoverride-4">
    <w:name w:val="charoverride-4"/>
    <w:basedOn w:val="Fuentedeprrafopredeter"/>
    <w:rsid w:val="00CC68A5"/>
  </w:style>
  <w:style w:type="character" w:customStyle="1" w:styleId="charoverride-5">
    <w:name w:val="charoverride-5"/>
    <w:basedOn w:val="Fuentedeprrafopredeter"/>
    <w:rsid w:val="00494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8E"/>
  </w:style>
  <w:style w:type="paragraph" w:styleId="Ttulo1">
    <w:name w:val="heading 1"/>
    <w:basedOn w:val="Normal"/>
    <w:next w:val="Normal"/>
    <w:link w:val="Ttulo1Car"/>
    <w:uiPriority w:val="9"/>
    <w:qFormat/>
    <w:rsid w:val="004404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058E"/>
    <w:pPr>
      <w:ind w:left="720"/>
      <w:contextualSpacing/>
    </w:pPr>
  </w:style>
  <w:style w:type="paragraph" w:styleId="Textonotapie">
    <w:name w:val="footnote text"/>
    <w:basedOn w:val="Normal"/>
    <w:link w:val="TextonotapieCar"/>
    <w:uiPriority w:val="99"/>
    <w:semiHidden/>
    <w:unhideWhenUsed/>
    <w:rsid w:val="00705C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5C2B"/>
    <w:rPr>
      <w:sz w:val="20"/>
      <w:szCs w:val="20"/>
    </w:rPr>
  </w:style>
  <w:style w:type="character" w:styleId="Refdenotaalpie">
    <w:name w:val="footnote reference"/>
    <w:basedOn w:val="Fuentedeprrafopredeter"/>
    <w:uiPriority w:val="99"/>
    <w:semiHidden/>
    <w:unhideWhenUsed/>
    <w:rsid w:val="00705C2B"/>
    <w:rPr>
      <w:vertAlign w:val="superscript"/>
    </w:rPr>
  </w:style>
  <w:style w:type="character" w:styleId="Hipervnculo">
    <w:name w:val="Hyperlink"/>
    <w:basedOn w:val="Fuentedeprrafopredeter"/>
    <w:uiPriority w:val="99"/>
    <w:unhideWhenUsed/>
    <w:rsid w:val="00705C2B"/>
    <w:rPr>
      <w:color w:val="0563C1" w:themeColor="hyperlink"/>
      <w:u w:val="single"/>
    </w:rPr>
  </w:style>
  <w:style w:type="table" w:styleId="Tablaconcuadrcula">
    <w:name w:val="Table Grid"/>
    <w:basedOn w:val="Tablanormal"/>
    <w:uiPriority w:val="39"/>
    <w:rsid w:val="00EE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274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13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3602"/>
  </w:style>
  <w:style w:type="paragraph" w:styleId="Piedepgina">
    <w:name w:val="footer"/>
    <w:basedOn w:val="Normal"/>
    <w:link w:val="PiedepginaCar"/>
    <w:uiPriority w:val="99"/>
    <w:unhideWhenUsed/>
    <w:rsid w:val="00113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3602"/>
  </w:style>
  <w:style w:type="paragraph" w:styleId="Textodeglobo">
    <w:name w:val="Balloon Text"/>
    <w:basedOn w:val="Normal"/>
    <w:link w:val="TextodegloboCar"/>
    <w:uiPriority w:val="99"/>
    <w:semiHidden/>
    <w:unhideWhenUsed/>
    <w:rsid w:val="00994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035"/>
    <w:rPr>
      <w:rFonts w:ascii="Tahoma" w:hAnsi="Tahoma" w:cs="Tahoma"/>
      <w:sz w:val="16"/>
      <w:szCs w:val="16"/>
    </w:rPr>
  </w:style>
  <w:style w:type="character" w:customStyle="1" w:styleId="Ttulo1Car">
    <w:name w:val="Título 1 Car"/>
    <w:basedOn w:val="Fuentedeprrafopredeter"/>
    <w:link w:val="Ttulo1"/>
    <w:uiPriority w:val="9"/>
    <w:rsid w:val="0044043B"/>
    <w:rPr>
      <w:rFonts w:asciiTheme="majorHAnsi" w:eastAsiaTheme="majorEastAsia" w:hAnsiTheme="majorHAnsi" w:cstheme="majorBidi"/>
      <w:b/>
      <w:bCs/>
      <w:color w:val="2E74B5" w:themeColor="accent1" w:themeShade="BF"/>
      <w:sz w:val="28"/>
      <w:szCs w:val="28"/>
    </w:rPr>
  </w:style>
  <w:style w:type="paragraph" w:customStyle="1" w:styleId="centrado">
    <w:name w:val="centrado"/>
    <w:basedOn w:val="Normal"/>
    <w:rsid w:val="00135EE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135EEE"/>
  </w:style>
  <w:style w:type="character" w:styleId="Textoennegrita">
    <w:name w:val="Strong"/>
    <w:basedOn w:val="Fuentedeprrafopredeter"/>
    <w:uiPriority w:val="22"/>
    <w:qFormat/>
    <w:rsid w:val="00135EEE"/>
    <w:rPr>
      <w:b/>
      <w:bCs/>
    </w:rPr>
  </w:style>
  <w:style w:type="paragraph" w:customStyle="1" w:styleId="estlos-gacetasp-rrafos">
    <w:name w:val="estlos-gacetas_p-rrafos"/>
    <w:basedOn w:val="Normal"/>
    <w:rsid w:val="00CC68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haroverride-2">
    <w:name w:val="charoverride-2"/>
    <w:basedOn w:val="Fuentedeprrafopredeter"/>
    <w:rsid w:val="00CC68A5"/>
  </w:style>
  <w:style w:type="paragraph" w:customStyle="1" w:styleId="estlos-gacetasvieta-tabulado">
    <w:name w:val="estlos-gacetas_viñeta-tabulado"/>
    <w:basedOn w:val="Normal"/>
    <w:rsid w:val="00CC68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haroverride-3">
    <w:name w:val="charoverride-3"/>
    <w:basedOn w:val="Fuentedeprrafopredeter"/>
    <w:rsid w:val="00CC68A5"/>
  </w:style>
  <w:style w:type="character" w:customStyle="1" w:styleId="charoverride-4">
    <w:name w:val="charoverride-4"/>
    <w:basedOn w:val="Fuentedeprrafopredeter"/>
    <w:rsid w:val="00CC68A5"/>
  </w:style>
  <w:style w:type="character" w:customStyle="1" w:styleId="charoverride-5">
    <w:name w:val="charoverride-5"/>
    <w:basedOn w:val="Fuentedeprrafopredeter"/>
    <w:rsid w:val="00494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8529">
      <w:bodyDiv w:val="1"/>
      <w:marLeft w:val="0"/>
      <w:marRight w:val="0"/>
      <w:marTop w:val="0"/>
      <w:marBottom w:val="0"/>
      <w:divBdr>
        <w:top w:val="none" w:sz="0" w:space="0" w:color="auto"/>
        <w:left w:val="none" w:sz="0" w:space="0" w:color="auto"/>
        <w:bottom w:val="none" w:sz="0" w:space="0" w:color="auto"/>
        <w:right w:val="none" w:sz="0" w:space="0" w:color="auto"/>
      </w:divBdr>
    </w:div>
    <w:div w:id="204101375">
      <w:bodyDiv w:val="1"/>
      <w:marLeft w:val="0"/>
      <w:marRight w:val="0"/>
      <w:marTop w:val="0"/>
      <w:marBottom w:val="0"/>
      <w:divBdr>
        <w:top w:val="none" w:sz="0" w:space="0" w:color="auto"/>
        <w:left w:val="none" w:sz="0" w:space="0" w:color="auto"/>
        <w:bottom w:val="none" w:sz="0" w:space="0" w:color="auto"/>
        <w:right w:val="none" w:sz="0" w:space="0" w:color="auto"/>
      </w:divBdr>
    </w:div>
    <w:div w:id="570774712">
      <w:bodyDiv w:val="1"/>
      <w:marLeft w:val="0"/>
      <w:marRight w:val="0"/>
      <w:marTop w:val="0"/>
      <w:marBottom w:val="0"/>
      <w:divBdr>
        <w:top w:val="none" w:sz="0" w:space="0" w:color="auto"/>
        <w:left w:val="none" w:sz="0" w:space="0" w:color="auto"/>
        <w:bottom w:val="none" w:sz="0" w:space="0" w:color="auto"/>
        <w:right w:val="none" w:sz="0" w:space="0" w:color="auto"/>
      </w:divBdr>
    </w:div>
    <w:div w:id="584340554">
      <w:bodyDiv w:val="1"/>
      <w:marLeft w:val="0"/>
      <w:marRight w:val="0"/>
      <w:marTop w:val="0"/>
      <w:marBottom w:val="0"/>
      <w:divBdr>
        <w:top w:val="none" w:sz="0" w:space="0" w:color="auto"/>
        <w:left w:val="none" w:sz="0" w:space="0" w:color="auto"/>
        <w:bottom w:val="none" w:sz="0" w:space="0" w:color="auto"/>
        <w:right w:val="none" w:sz="0" w:space="0" w:color="auto"/>
      </w:divBdr>
    </w:div>
    <w:div w:id="664674757">
      <w:bodyDiv w:val="1"/>
      <w:marLeft w:val="0"/>
      <w:marRight w:val="0"/>
      <w:marTop w:val="0"/>
      <w:marBottom w:val="0"/>
      <w:divBdr>
        <w:top w:val="none" w:sz="0" w:space="0" w:color="auto"/>
        <w:left w:val="none" w:sz="0" w:space="0" w:color="auto"/>
        <w:bottom w:val="none" w:sz="0" w:space="0" w:color="auto"/>
        <w:right w:val="none" w:sz="0" w:space="0" w:color="auto"/>
      </w:divBdr>
    </w:div>
    <w:div w:id="765925112">
      <w:bodyDiv w:val="1"/>
      <w:marLeft w:val="0"/>
      <w:marRight w:val="0"/>
      <w:marTop w:val="0"/>
      <w:marBottom w:val="0"/>
      <w:divBdr>
        <w:top w:val="none" w:sz="0" w:space="0" w:color="auto"/>
        <w:left w:val="none" w:sz="0" w:space="0" w:color="auto"/>
        <w:bottom w:val="none" w:sz="0" w:space="0" w:color="auto"/>
        <w:right w:val="none" w:sz="0" w:space="0" w:color="auto"/>
      </w:divBdr>
    </w:div>
    <w:div w:id="935793866">
      <w:bodyDiv w:val="1"/>
      <w:marLeft w:val="0"/>
      <w:marRight w:val="0"/>
      <w:marTop w:val="0"/>
      <w:marBottom w:val="0"/>
      <w:divBdr>
        <w:top w:val="none" w:sz="0" w:space="0" w:color="auto"/>
        <w:left w:val="none" w:sz="0" w:space="0" w:color="auto"/>
        <w:bottom w:val="none" w:sz="0" w:space="0" w:color="auto"/>
        <w:right w:val="none" w:sz="0" w:space="0" w:color="auto"/>
      </w:divBdr>
    </w:div>
    <w:div w:id="1121534518">
      <w:bodyDiv w:val="1"/>
      <w:marLeft w:val="0"/>
      <w:marRight w:val="0"/>
      <w:marTop w:val="0"/>
      <w:marBottom w:val="0"/>
      <w:divBdr>
        <w:top w:val="none" w:sz="0" w:space="0" w:color="auto"/>
        <w:left w:val="none" w:sz="0" w:space="0" w:color="auto"/>
        <w:bottom w:val="none" w:sz="0" w:space="0" w:color="auto"/>
        <w:right w:val="none" w:sz="0" w:space="0" w:color="auto"/>
      </w:divBdr>
    </w:div>
    <w:div w:id="1148405097">
      <w:bodyDiv w:val="1"/>
      <w:marLeft w:val="0"/>
      <w:marRight w:val="0"/>
      <w:marTop w:val="0"/>
      <w:marBottom w:val="0"/>
      <w:divBdr>
        <w:top w:val="none" w:sz="0" w:space="0" w:color="auto"/>
        <w:left w:val="none" w:sz="0" w:space="0" w:color="auto"/>
        <w:bottom w:val="none" w:sz="0" w:space="0" w:color="auto"/>
        <w:right w:val="none" w:sz="0" w:space="0" w:color="auto"/>
      </w:divBdr>
    </w:div>
    <w:div w:id="1610041359">
      <w:bodyDiv w:val="1"/>
      <w:marLeft w:val="0"/>
      <w:marRight w:val="0"/>
      <w:marTop w:val="0"/>
      <w:marBottom w:val="0"/>
      <w:divBdr>
        <w:top w:val="none" w:sz="0" w:space="0" w:color="auto"/>
        <w:left w:val="none" w:sz="0" w:space="0" w:color="auto"/>
        <w:bottom w:val="none" w:sz="0" w:space="0" w:color="auto"/>
        <w:right w:val="none" w:sz="0" w:space="0" w:color="auto"/>
      </w:divBdr>
    </w:div>
    <w:div w:id="1660186625">
      <w:bodyDiv w:val="1"/>
      <w:marLeft w:val="0"/>
      <w:marRight w:val="0"/>
      <w:marTop w:val="0"/>
      <w:marBottom w:val="0"/>
      <w:divBdr>
        <w:top w:val="none" w:sz="0" w:space="0" w:color="auto"/>
        <w:left w:val="none" w:sz="0" w:space="0" w:color="auto"/>
        <w:bottom w:val="none" w:sz="0" w:space="0" w:color="auto"/>
        <w:right w:val="none" w:sz="0" w:space="0" w:color="auto"/>
      </w:divBdr>
    </w:div>
    <w:div w:id="1795325135">
      <w:bodyDiv w:val="1"/>
      <w:marLeft w:val="0"/>
      <w:marRight w:val="0"/>
      <w:marTop w:val="0"/>
      <w:marBottom w:val="0"/>
      <w:divBdr>
        <w:top w:val="none" w:sz="0" w:space="0" w:color="auto"/>
        <w:left w:val="none" w:sz="0" w:space="0" w:color="auto"/>
        <w:bottom w:val="none" w:sz="0" w:space="0" w:color="auto"/>
        <w:right w:val="none" w:sz="0" w:space="0" w:color="auto"/>
      </w:divBdr>
    </w:div>
    <w:div w:id="1897470682">
      <w:bodyDiv w:val="1"/>
      <w:marLeft w:val="0"/>
      <w:marRight w:val="0"/>
      <w:marTop w:val="0"/>
      <w:marBottom w:val="0"/>
      <w:divBdr>
        <w:top w:val="none" w:sz="0" w:space="0" w:color="auto"/>
        <w:left w:val="none" w:sz="0" w:space="0" w:color="auto"/>
        <w:bottom w:val="none" w:sz="0" w:space="0" w:color="auto"/>
        <w:right w:val="none" w:sz="0" w:space="0" w:color="auto"/>
      </w:divBdr>
    </w:div>
    <w:div w:id="20957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rpubindc.imprenta.gov.co/senado/view/gestion/gacetaPublica.xhtm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5A304-70B2-4A04-A614-839D7D214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14435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Valencia</dc:creator>
  <cp:lastModifiedBy>Maria Carolina Hernandez Blanco</cp:lastModifiedBy>
  <cp:revision>2</cp:revision>
  <cp:lastPrinted>2018-08-21T16:33:00Z</cp:lastPrinted>
  <dcterms:created xsi:type="dcterms:W3CDTF">2019-07-30T19:29:00Z</dcterms:created>
  <dcterms:modified xsi:type="dcterms:W3CDTF">2019-07-30T19:29:00Z</dcterms:modified>
</cp:coreProperties>
</file>